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5E4C3" w14:textId="39CA522C" w:rsidR="008243A1" w:rsidRPr="00C2553B" w:rsidRDefault="008243A1" w:rsidP="008243A1">
      <w:pPr>
        <w:pStyle w:val="ListParagraph"/>
        <w:widowControl w:val="0"/>
        <w:autoSpaceDE w:val="0"/>
        <w:autoSpaceDN w:val="0"/>
        <w:spacing w:before="0" w:after="0" w:line="360" w:lineRule="auto"/>
        <w:ind w:left="360"/>
        <w:jc w:val="center"/>
        <w:rPr>
          <w:rFonts w:ascii="Tahoma" w:hAnsi="Tahoma" w:cs="Tahoma"/>
          <w:b/>
          <w:bCs/>
          <w:color w:val="215C8A"/>
          <w:spacing w:val="-6"/>
          <w:sz w:val="56"/>
          <w:szCs w:val="56"/>
          <w:lang w:val="it-IT"/>
        </w:rPr>
      </w:pPr>
      <w:bookmarkStart w:id="0" w:name="_Hlk214438066"/>
      <w:bookmarkStart w:id="1" w:name="_Hlk214371865"/>
      <w:r w:rsidRPr="00C2553B">
        <w:rPr>
          <w:rFonts w:ascii="Tahoma" w:hAnsi="Tahoma" w:cs="Tahoma"/>
          <w:b/>
          <w:bCs/>
          <w:color w:val="215C8A"/>
          <w:spacing w:val="-6"/>
          <w:sz w:val="56"/>
          <w:szCs w:val="56"/>
          <w:lang w:val="it-IT"/>
        </w:rPr>
        <w:t>DIPLOMAZIA DELLA CRESCITA</w:t>
      </w:r>
    </w:p>
    <w:p w14:paraId="5D05D60B" w14:textId="695965BA" w:rsidR="008243A1" w:rsidRDefault="008243A1" w:rsidP="008243A1">
      <w:pPr>
        <w:pStyle w:val="ListParagraph"/>
        <w:widowControl w:val="0"/>
        <w:autoSpaceDE w:val="0"/>
        <w:autoSpaceDN w:val="0"/>
        <w:spacing w:before="0" w:after="0" w:line="360" w:lineRule="auto"/>
        <w:ind w:left="360"/>
        <w:jc w:val="center"/>
        <w:rPr>
          <w:rFonts w:ascii="Tahoma" w:hAnsi="Tahoma" w:cs="Tahoma"/>
          <w:b/>
          <w:bCs/>
          <w:color w:val="215C8A"/>
          <w:spacing w:val="-6"/>
          <w:sz w:val="56"/>
          <w:szCs w:val="56"/>
          <w:lang w:val="it-IT"/>
        </w:rPr>
      </w:pPr>
      <w:r w:rsidRPr="00C2553B">
        <w:rPr>
          <w:rFonts w:ascii="Tahoma" w:hAnsi="Tahoma" w:cs="Tahoma"/>
          <w:b/>
          <w:bCs/>
          <w:color w:val="215C8A"/>
          <w:spacing w:val="-6"/>
          <w:sz w:val="56"/>
          <w:szCs w:val="56"/>
          <w:lang w:val="it-IT"/>
        </w:rPr>
        <w:t>DESTINAZIONE NUOVA ZELANDA</w:t>
      </w:r>
    </w:p>
    <w:p w14:paraId="25A08F47" w14:textId="77777777" w:rsidR="008243A1" w:rsidRPr="00C2553B" w:rsidRDefault="008243A1" w:rsidP="008243A1">
      <w:pPr>
        <w:pStyle w:val="ListParagraph"/>
        <w:widowControl w:val="0"/>
        <w:autoSpaceDE w:val="0"/>
        <w:autoSpaceDN w:val="0"/>
        <w:spacing w:before="0" w:after="0" w:line="360" w:lineRule="auto"/>
        <w:ind w:left="360"/>
        <w:jc w:val="center"/>
        <w:rPr>
          <w:rFonts w:ascii="Tahoma" w:hAnsi="Tahoma" w:cs="Tahoma"/>
          <w:b/>
          <w:bCs/>
          <w:color w:val="215C8A"/>
          <w:spacing w:val="-6"/>
          <w:sz w:val="56"/>
          <w:szCs w:val="56"/>
          <w:lang w:val="it-IT"/>
        </w:rPr>
      </w:pPr>
    </w:p>
    <w:p w14:paraId="159583C6" w14:textId="56E3EA0D" w:rsidR="00C2553B" w:rsidRDefault="008243A1" w:rsidP="00C2553B">
      <w:pPr>
        <w:pStyle w:val="ListParagraph"/>
        <w:widowControl w:val="0"/>
        <w:autoSpaceDE w:val="0"/>
        <w:autoSpaceDN w:val="0"/>
        <w:spacing w:before="0" w:after="0" w:line="360" w:lineRule="auto"/>
        <w:ind w:left="360"/>
        <w:jc w:val="left"/>
        <w:rPr>
          <w:rFonts w:ascii="Tahoma" w:hAnsi="Tahoma" w:cs="Tahoma"/>
          <w:b/>
          <w:bCs/>
          <w:color w:val="215C8A"/>
          <w:spacing w:val="-6"/>
          <w:lang w:val="it-IT"/>
        </w:rPr>
      </w:pPr>
      <w:r w:rsidRPr="008243A1">
        <w:rPr>
          <w:rFonts w:ascii="Tahoma" w:hAnsi="Tahoma" w:cs="Tahoma"/>
          <w:b/>
          <w:bCs/>
          <w:noProof/>
          <w:color w:val="215C8A"/>
          <w:spacing w:val="-6"/>
          <w:lang w:val="it-IT"/>
        </w:rPr>
        <w:drawing>
          <wp:anchor distT="0" distB="0" distL="114300" distR="114300" simplePos="0" relativeHeight="251669504" behindDoc="1" locked="0" layoutInCell="1" allowOverlap="1" wp14:anchorId="2BA4B4D0" wp14:editId="0096EBF0">
            <wp:simplePos x="0" y="0"/>
            <wp:positionH relativeFrom="margin">
              <wp:align>right</wp:align>
            </wp:positionH>
            <wp:positionV relativeFrom="paragraph">
              <wp:posOffset>301683</wp:posOffset>
            </wp:positionV>
            <wp:extent cx="5731510" cy="3105785"/>
            <wp:effectExtent l="0" t="0" r="2540" b="0"/>
            <wp:wrapTight wrapText="bothSides">
              <wp:wrapPolygon edited="0">
                <wp:start x="0" y="0"/>
                <wp:lineTo x="0" y="21463"/>
                <wp:lineTo x="21538" y="21463"/>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105785"/>
                    </a:xfrm>
                    <a:prstGeom prst="rect">
                      <a:avLst/>
                    </a:prstGeom>
                  </pic:spPr>
                </pic:pic>
              </a:graphicData>
            </a:graphic>
          </wp:anchor>
        </w:drawing>
      </w:r>
    </w:p>
    <w:p w14:paraId="4025106C" w14:textId="38E617AD" w:rsidR="00C2553B" w:rsidRDefault="00C2553B" w:rsidP="008243A1">
      <w:pPr>
        <w:widowControl w:val="0"/>
        <w:autoSpaceDE w:val="0"/>
        <w:autoSpaceDN w:val="0"/>
        <w:spacing w:before="0" w:after="0" w:line="360" w:lineRule="auto"/>
        <w:jc w:val="left"/>
        <w:rPr>
          <w:rFonts w:ascii="Tahoma" w:hAnsi="Tahoma" w:cs="Tahoma"/>
          <w:b/>
          <w:bCs/>
          <w:color w:val="215C8A"/>
          <w:spacing w:val="-6"/>
          <w:lang w:val="it-IT"/>
        </w:rPr>
      </w:pPr>
    </w:p>
    <w:p w14:paraId="6E27183F" w14:textId="77777777" w:rsidR="008243A1" w:rsidRDefault="008243A1" w:rsidP="008243A1">
      <w:pPr>
        <w:widowControl w:val="0"/>
        <w:autoSpaceDE w:val="0"/>
        <w:autoSpaceDN w:val="0"/>
        <w:spacing w:before="0" w:after="0" w:line="360" w:lineRule="auto"/>
        <w:jc w:val="left"/>
        <w:rPr>
          <w:rFonts w:ascii="Tahoma" w:hAnsi="Tahoma" w:cs="Tahoma"/>
          <w:b/>
          <w:bCs/>
          <w:color w:val="215C8A"/>
          <w:spacing w:val="-6"/>
          <w:lang w:val="it-IT"/>
        </w:rPr>
      </w:pPr>
    </w:p>
    <w:p w14:paraId="4D81C0BB" w14:textId="7183C8D1" w:rsidR="008243A1" w:rsidRPr="008243A1" w:rsidRDefault="008243A1" w:rsidP="008243A1">
      <w:pPr>
        <w:widowControl w:val="0"/>
        <w:autoSpaceDE w:val="0"/>
        <w:autoSpaceDN w:val="0"/>
        <w:spacing w:before="0" w:after="0" w:line="360" w:lineRule="auto"/>
        <w:jc w:val="left"/>
        <w:rPr>
          <w:rFonts w:ascii="Tahoma" w:hAnsi="Tahoma" w:cs="Tahoma"/>
          <w:b/>
          <w:bCs/>
          <w:color w:val="215C8A"/>
          <w:spacing w:val="-6"/>
          <w:lang w:val="it-IT"/>
        </w:rPr>
      </w:pPr>
    </w:p>
    <w:p w14:paraId="6B0A0008" w14:textId="26E0A6AE" w:rsidR="00C2553B" w:rsidRDefault="00C2553B" w:rsidP="00C2553B">
      <w:pPr>
        <w:pStyle w:val="ListParagraph"/>
        <w:widowControl w:val="0"/>
        <w:autoSpaceDE w:val="0"/>
        <w:autoSpaceDN w:val="0"/>
        <w:spacing w:before="0" w:after="0" w:line="360" w:lineRule="auto"/>
        <w:ind w:left="360"/>
        <w:jc w:val="left"/>
        <w:rPr>
          <w:rFonts w:ascii="Tahoma" w:hAnsi="Tahoma" w:cs="Tahoma"/>
          <w:b/>
          <w:bCs/>
          <w:color w:val="215C8A"/>
          <w:spacing w:val="-6"/>
          <w:lang w:val="it-IT"/>
        </w:rPr>
      </w:pPr>
    </w:p>
    <w:p w14:paraId="775DAE39" w14:textId="02E236F3" w:rsidR="00C2553B" w:rsidRDefault="00C2553B" w:rsidP="00C2553B">
      <w:pPr>
        <w:pStyle w:val="ListParagraph"/>
        <w:widowControl w:val="0"/>
        <w:autoSpaceDE w:val="0"/>
        <w:autoSpaceDN w:val="0"/>
        <w:spacing w:before="0" w:after="0" w:line="360" w:lineRule="auto"/>
        <w:ind w:left="360"/>
        <w:jc w:val="left"/>
        <w:rPr>
          <w:rFonts w:ascii="Tahoma" w:hAnsi="Tahoma" w:cs="Tahoma"/>
          <w:b/>
          <w:bCs/>
          <w:color w:val="215C8A"/>
          <w:spacing w:val="-6"/>
          <w:lang w:val="it-IT"/>
        </w:rPr>
      </w:pPr>
    </w:p>
    <w:p w14:paraId="2FD2BA36" w14:textId="6B7F4158" w:rsidR="00C2553B" w:rsidRDefault="008243A1" w:rsidP="00FD3F32">
      <w:pPr>
        <w:widowControl w:val="0"/>
        <w:autoSpaceDE w:val="0"/>
        <w:autoSpaceDN w:val="0"/>
        <w:spacing w:before="0" w:after="0" w:line="360" w:lineRule="auto"/>
        <w:jc w:val="left"/>
        <w:rPr>
          <w:rFonts w:ascii="Tahoma" w:hAnsi="Tahoma" w:cs="Tahoma"/>
          <w:b/>
          <w:bCs/>
          <w:color w:val="215C8A"/>
          <w:spacing w:val="-6"/>
          <w:lang w:val="it-IT"/>
        </w:rPr>
      </w:pPr>
      <w:r>
        <w:rPr>
          <w:noProof/>
          <w:lang w:eastAsia="en-NZ"/>
        </w:rPr>
        <w:drawing>
          <wp:anchor distT="0" distB="0" distL="114300" distR="114300" simplePos="0" relativeHeight="251668480" behindDoc="1" locked="0" layoutInCell="1" allowOverlap="1" wp14:anchorId="10AFF37C" wp14:editId="007B4E24">
            <wp:simplePos x="0" y="0"/>
            <wp:positionH relativeFrom="margin">
              <wp:align>center</wp:align>
            </wp:positionH>
            <wp:positionV relativeFrom="paragraph">
              <wp:posOffset>6408</wp:posOffset>
            </wp:positionV>
            <wp:extent cx="1515745" cy="1399540"/>
            <wp:effectExtent l="0" t="0" r="0" b="0"/>
            <wp:wrapNone/>
            <wp:docPr id="6" name="Picture 6" descr="C:\Users\Segreteria\AppData\Local\Microsoft\Windows\INetCache\Content.Word\MAECI-ambasciata-italia-V-EN-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eria\AppData\Local\Microsoft\Windows\INetCache\Content.Word\MAECI-ambasciata-italia-V-EN-01-4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74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31B1E" w14:textId="25DB299D" w:rsidR="008243A1" w:rsidRDefault="008243A1" w:rsidP="00FD3F32">
      <w:pPr>
        <w:widowControl w:val="0"/>
        <w:autoSpaceDE w:val="0"/>
        <w:autoSpaceDN w:val="0"/>
        <w:spacing w:before="0" w:after="0" w:line="360" w:lineRule="auto"/>
        <w:jc w:val="left"/>
        <w:rPr>
          <w:rFonts w:ascii="Tahoma" w:hAnsi="Tahoma" w:cs="Tahoma"/>
          <w:b/>
          <w:bCs/>
          <w:color w:val="215C8A"/>
          <w:spacing w:val="-6"/>
          <w:lang w:val="it-IT"/>
        </w:rPr>
      </w:pPr>
    </w:p>
    <w:p w14:paraId="7C3538C6" w14:textId="28B6080E" w:rsidR="008243A1" w:rsidRDefault="008243A1" w:rsidP="00FD3F32">
      <w:pPr>
        <w:widowControl w:val="0"/>
        <w:autoSpaceDE w:val="0"/>
        <w:autoSpaceDN w:val="0"/>
        <w:spacing w:before="0" w:after="0" w:line="360" w:lineRule="auto"/>
        <w:jc w:val="left"/>
        <w:rPr>
          <w:rFonts w:ascii="Tahoma" w:hAnsi="Tahoma" w:cs="Tahoma"/>
          <w:b/>
          <w:bCs/>
          <w:color w:val="215C8A"/>
          <w:spacing w:val="-6"/>
          <w:lang w:val="it-IT"/>
        </w:rPr>
      </w:pPr>
    </w:p>
    <w:p w14:paraId="66BA03FE" w14:textId="49E2D544" w:rsidR="008243A1" w:rsidRDefault="008243A1" w:rsidP="00FD3F32">
      <w:pPr>
        <w:widowControl w:val="0"/>
        <w:autoSpaceDE w:val="0"/>
        <w:autoSpaceDN w:val="0"/>
        <w:spacing w:before="0" w:after="0" w:line="360" w:lineRule="auto"/>
        <w:jc w:val="left"/>
        <w:rPr>
          <w:rFonts w:ascii="Tahoma" w:hAnsi="Tahoma" w:cs="Tahoma"/>
          <w:b/>
          <w:bCs/>
          <w:color w:val="215C8A"/>
          <w:spacing w:val="-6"/>
          <w:lang w:val="it-IT"/>
        </w:rPr>
      </w:pPr>
    </w:p>
    <w:p w14:paraId="45A09AEC" w14:textId="382D761F" w:rsidR="008243A1" w:rsidRDefault="008243A1" w:rsidP="00FD3F32">
      <w:pPr>
        <w:widowControl w:val="0"/>
        <w:autoSpaceDE w:val="0"/>
        <w:autoSpaceDN w:val="0"/>
        <w:spacing w:before="0" w:after="0" w:line="360" w:lineRule="auto"/>
        <w:jc w:val="left"/>
        <w:rPr>
          <w:rFonts w:ascii="Tahoma" w:hAnsi="Tahoma" w:cs="Tahoma"/>
          <w:b/>
          <w:bCs/>
          <w:color w:val="215C8A"/>
          <w:spacing w:val="-6"/>
          <w:lang w:val="it-IT"/>
        </w:rPr>
      </w:pPr>
    </w:p>
    <w:p w14:paraId="455CAC6E" w14:textId="147643DD" w:rsidR="008243A1" w:rsidRPr="00FD3F32" w:rsidRDefault="008243A1" w:rsidP="00FD3F32">
      <w:pPr>
        <w:widowControl w:val="0"/>
        <w:autoSpaceDE w:val="0"/>
        <w:autoSpaceDN w:val="0"/>
        <w:spacing w:before="0" w:after="0" w:line="360" w:lineRule="auto"/>
        <w:jc w:val="left"/>
        <w:rPr>
          <w:rFonts w:ascii="Tahoma" w:hAnsi="Tahoma" w:cs="Tahoma"/>
          <w:b/>
          <w:bCs/>
          <w:color w:val="215C8A"/>
          <w:spacing w:val="-6"/>
          <w:lang w:val="it-IT"/>
        </w:rPr>
      </w:pPr>
    </w:p>
    <w:p w14:paraId="711B2A22" w14:textId="26A08DEE" w:rsidR="00C2553B" w:rsidRPr="00904CED" w:rsidRDefault="00C2553B" w:rsidP="00DC3A1F">
      <w:pPr>
        <w:pStyle w:val="ListParagraph"/>
        <w:widowControl w:val="0"/>
        <w:autoSpaceDE w:val="0"/>
        <w:autoSpaceDN w:val="0"/>
        <w:spacing w:before="0" w:after="0" w:line="360" w:lineRule="auto"/>
        <w:ind w:left="360"/>
        <w:jc w:val="center"/>
        <w:rPr>
          <w:rFonts w:ascii="Tahoma" w:hAnsi="Tahoma" w:cs="Tahoma"/>
          <w:b/>
          <w:bCs/>
          <w:color w:val="2F5496" w:themeColor="accent1" w:themeShade="BF"/>
          <w:spacing w:val="-6"/>
          <w:lang w:val="it-IT"/>
        </w:rPr>
      </w:pPr>
      <w:r w:rsidRPr="00904CED">
        <w:rPr>
          <w:rFonts w:ascii="Tahoma" w:hAnsi="Tahoma" w:cs="Tahoma"/>
          <w:b/>
          <w:bCs/>
          <w:color w:val="2F5496" w:themeColor="accent1" w:themeShade="BF"/>
          <w:spacing w:val="-6"/>
          <w:lang w:val="it-IT"/>
        </w:rPr>
        <w:lastRenderedPageBreak/>
        <w:t>INDICE</w:t>
      </w:r>
    </w:p>
    <w:p w14:paraId="720F4A92" w14:textId="304E3768" w:rsidR="00C2553B" w:rsidRPr="00904CED" w:rsidRDefault="00C2553B" w:rsidP="00C2553B">
      <w:pPr>
        <w:pStyle w:val="ListParagraph"/>
        <w:widowControl w:val="0"/>
        <w:autoSpaceDE w:val="0"/>
        <w:autoSpaceDN w:val="0"/>
        <w:spacing w:before="0" w:after="0" w:line="360" w:lineRule="auto"/>
        <w:ind w:left="360"/>
        <w:jc w:val="left"/>
        <w:rPr>
          <w:rFonts w:ascii="Tahoma" w:hAnsi="Tahoma" w:cs="Tahoma"/>
          <w:color w:val="2F5496" w:themeColor="accent1" w:themeShade="BF"/>
          <w:spacing w:val="-6"/>
          <w:lang w:val="it-IT"/>
        </w:rPr>
      </w:pPr>
    </w:p>
    <w:p w14:paraId="69546CF3" w14:textId="7FE93C40" w:rsidR="00C2553B" w:rsidRDefault="00C2553B" w:rsidP="00B62923">
      <w:pPr>
        <w:pStyle w:val="ListParagraph"/>
        <w:widowControl w:val="0"/>
        <w:numPr>
          <w:ilvl w:val="0"/>
          <w:numId w:val="27"/>
        </w:numPr>
        <w:autoSpaceDE w:val="0"/>
        <w:autoSpaceDN w:val="0"/>
        <w:spacing w:before="0" w:after="0" w:line="360" w:lineRule="auto"/>
        <w:jc w:val="left"/>
        <w:rPr>
          <w:rFonts w:ascii="Tahoma" w:hAnsi="Tahoma" w:cs="Tahoma"/>
          <w:b/>
          <w:bCs/>
          <w:color w:val="2F5496" w:themeColor="accent1" w:themeShade="BF"/>
          <w:spacing w:val="-6"/>
          <w:lang w:val="it-IT"/>
        </w:rPr>
      </w:pPr>
      <w:r w:rsidRPr="00904CED">
        <w:rPr>
          <w:rFonts w:ascii="Tahoma" w:hAnsi="Tahoma" w:cs="Tahoma"/>
          <w:b/>
          <w:bCs/>
          <w:color w:val="2F5496" w:themeColor="accent1" w:themeShade="BF"/>
          <w:spacing w:val="-6"/>
          <w:lang w:val="it-IT"/>
        </w:rPr>
        <w:t>RETE ITALIANA IN NUOVA ZELANDA</w:t>
      </w:r>
      <w:r w:rsidR="00FD3F32" w:rsidRPr="00904CED">
        <w:rPr>
          <w:rFonts w:ascii="Tahoma" w:hAnsi="Tahoma" w:cs="Tahoma"/>
          <w:b/>
          <w:bCs/>
          <w:color w:val="2F5496" w:themeColor="accent1" w:themeShade="BF"/>
          <w:spacing w:val="-6"/>
          <w:lang w:val="it-IT"/>
        </w:rPr>
        <w:tab/>
      </w:r>
      <w:r w:rsidR="00FD3F32" w:rsidRPr="00904CED">
        <w:rPr>
          <w:rFonts w:ascii="Tahoma" w:hAnsi="Tahoma" w:cs="Tahoma"/>
          <w:b/>
          <w:bCs/>
          <w:color w:val="2F5496" w:themeColor="accent1" w:themeShade="BF"/>
          <w:spacing w:val="-6"/>
          <w:lang w:val="it-IT"/>
        </w:rPr>
        <w:tab/>
      </w:r>
      <w:r w:rsidR="00FD3F32" w:rsidRPr="00904CED">
        <w:rPr>
          <w:rFonts w:ascii="Tahoma" w:hAnsi="Tahoma" w:cs="Tahoma"/>
          <w:b/>
          <w:bCs/>
          <w:color w:val="2F5496" w:themeColor="accent1" w:themeShade="BF"/>
          <w:spacing w:val="-6"/>
          <w:lang w:val="it-IT"/>
        </w:rPr>
        <w:tab/>
      </w:r>
      <w:r w:rsidR="00FD3F32" w:rsidRPr="00904CED">
        <w:rPr>
          <w:rFonts w:ascii="Tahoma" w:hAnsi="Tahoma" w:cs="Tahoma"/>
          <w:b/>
          <w:bCs/>
          <w:color w:val="2F5496" w:themeColor="accent1" w:themeShade="BF"/>
          <w:spacing w:val="-6"/>
          <w:lang w:val="it-IT"/>
        </w:rPr>
        <w:tab/>
      </w:r>
      <w:r w:rsidR="00FD3F32" w:rsidRPr="00904CED">
        <w:rPr>
          <w:rFonts w:ascii="Tahoma" w:hAnsi="Tahoma" w:cs="Tahoma"/>
          <w:b/>
          <w:bCs/>
          <w:color w:val="2F5496" w:themeColor="accent1" w:themeShade="BF"/>
          <w:spacing w:val="-6"/>
          <w:lang w:val="it-IT"/>
        </w:rPr>
        <w:tab/>
      </w:r>
      <w:r w:rsidR="00FD3F32" w:rsidRPr="00904CED">
        <w:rPr>
          <w:rFonts w:ascii="Tahoma" w:hAnsi="Tahoma" w:cs="Tahoma"/>
          <w:b/>
          <w:bCs/>
          <w:color w:val="2F5496" w:themeColor="accent1" w:themeShade="BF"/>
          <w:spacing w:val="-6"/>
          <w:lang w:val="it-IT"/>
        </w:rPr>
        <w:tab/>
      </w:r>
      <w:r w:rsidR="00FD3F32" w:rsidRPr="00904CED">
        <w:rPr>
          <w:rFonts w:ascii="Tahoma" w:hAnsi="Tahoma" w:cs="Tahoma"/>
          <w:b/>
          <w:bCs/>
          <w:color w:val="2F5496" w:themeColor="accent1" w:themeShade="BF"/>
          <w:spacing w:val="-6"/>
          <w:lang w:val="it-IT"/>
        </w:rPr>
        <w:tab/>
        <w:t>1</w:t>
      </w:r>
    </w:p>
    <w:p w14:paraId="31B958AA" w14:textId="77777777" w:rsidR="00A579D8" w:rsidRPr="00904CED" w:rsidRDefault="00A579D8" w:rsidP="00A579D8">
      <w:pPr>
        <w:pStyle w:val="ListParagraph"/>
        <w:widowControl w:val="0"/>
        <w:autoSpaceDE w:val="0"/>
        <w:autoSpaceDN w:val="0"/>
        <w:spacing w:before="0" w:after="0" w:line="360" w:lineRule="auto"/>
        <w:ind w:left="360"/>
        <w:jc w:val="left"/>
        <w:rPr>
          <w:rFonts w:ascii="Tahoma" w:hAnsi="Tahoma" w:cs="Tahoma"/>
          <w:b/>
          <w:bCs/>
          <w:color w:val="2F5496" w:themeColor="accent1" w:themeShade="BF"/>
          <w:spacing w:val="-6"/>
          <w:lang w:val="it-IT"/>
        </w:rPr>
      </w:pPr>
    </w:p>
    <w:p w14:paraId="69DC9ABD" w14:textId="12456B47" w:rsidR="00C2553B" w:rsidRPr="00904CED" w:rsidRDefault="00C2553B" w:rsidP="00720234">
      <w:pPr>
        <w:pStyle w:val="ListParagraph"/>
        <w:widowControl w:val="0"/>
        <w:numPr>
          <w:ilvl w:val="0"/>
          <w:numId w:val="27"/>
        </w:numPr>
        <w:autoSpaceDE w:val="0"/>
        <w:autoSpaceDN w:val="0"/>
        <w:spacing w:before="0" w:after="0" w:line="360" w:lineRule="auto"/>
        <w:jc w:val="left"/>
        <w:rPr>
          <w:rFonts w:ascii="Tahoma" w:hAnsi="Tahoma" w:cs="Tahoma"/>
          <w:b/>
          <w:bCs/>
          <w:color w:val="2F5496" w:themeColor="accent1" w:themeShade="BF"/>
          <w:spacing w:val="-6"/>
          <w:lang w:val="it-IT"/>
        </w:rPr>
      </w:pPr>
      <w:r w:rsidRPr="00904CED">
        <w:rPr>
          <w:rFonts w:ascii="Tahoma" w:hAnsi="Tahoma" w:cs="Tahoma"/>
          <w:b/>
          <w:bCs/>
          <w:color w:val="2F5496" w:themeColor="accent1" w:themeShade="BF"/>
          <w:spacing w:val="-6"/>
          <w:lang w:val="it-IT"/>
        </w:rPr>
        <w:t>INFORMAZIONI GENERALI</w:t>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t>3</w:t>
      </w:r>
    </w:p>
    <w:p w14:paraId="34698A09" w14:textId="128FE747" w:rsidR="00C2553B" w:rsidRPr="00904CED" w:rsidRDefault="00C2553B"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bookmarkStart w:id="2" w:name="_Hlk215228506"/>
      <w:r w:rsidRPr="00904CED">
        <w:rPr>
          <w:rFonts w:ascii="Tahoma" w:hAnsi="Tahoma" w:cs="Tahoma"/>
          <w:color w:val="2F5496" w:themeColor="accent1" w:themeShade="BF"/>
          <w:spacing w:val="-6"/>
          <w:sz w:val="18"/>
          <w:szCs w:val="18"/>
          <w:lang w:val="it-IT"/>
        </w:rPr>
        <w:t>2.1)</w:t>
      </w:r>
      <w:r w:rsidR="00FD3F32" w:rsidRPr="00904CED">
        <w:rPr>
          <w:rFonts w:ascii="Tahoma" w:hAnsi="Tahoma" w:cs="Tahoma"/>
          <w:color w:val="2F5496" w:themeColor="accent1" w:themeShade="BF"/>
          <w:spacing w:val="-6"/>
          <w:sz w:val="18"/>
          <w:szCs w:val="18"/>
          <w:lang w:val="it-IT"/>
        </w:rPr>
        <w:t xml:space="preserve"> </w:t>
      </w:r>
      <w:r w:rsidRPr="00904CED">
        <w:rPr>
          <w:rFonts w:ascii="Tahoma" w:hAnsi="Tahoma" w:cs="Tahoma"/>
          <w:color w:val="2F5496" w:themeColor="accent1" w:themeShade="BF"/>
          <w:spacing w:val="-6"/>
          <w:sz w:val="18"/>
          <w:szCs w:val="18"/>
          <w:lang w:val="it-IT"/>
        </w:rPr>
        <w:t>DATI GENERALI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3</w:t>
      </w:r>
    </w:p>
    <w:p w14:paraId="6A73DF07" w14:textId="369F265F" w:rsidR="00C2553B" w:rsidRPr="00904CED" w:rsidRDefault="00C2553B"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2.2) RELAZIONI INTERNAZIONALI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3</w:t>
      </w:r>
    </w:p>
    <w:p w14:paraId="6C70EF87" w14:textId="571C5EC3" w:rsidR="00C2553B" w:rsidRPr="00904CED" w:rsidRDefault="00C2553B"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2.3) QUADRO MACROECONOMICO</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4</w:t>
      </w:r>
    </w:p>
    <w:bookmarkEnd w:id="2"/>
    <w:p w14:paraId="09461635" w14:textId="123C57AF" w:rsidR="00C2553B" w:rsidRPr="00904CED" w:rsidRDefault="00C2553B"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2.4) POLITICA ECONOMICA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5</w:t>
      </w:r>
    </w:p>
    <w:p w14:paraId="7FFB87F1" w14:textId="41CA4AEC" w:rsidR="00C2553B" w:rsidRPr="00904CED" w:rsidRDefault="00C2553B"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2.5) POLITICA MONETARIA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77658">
        <w:rPr>
          <w:rFonts w:ascii="Tahoma" w:hAnsi="Tahoma" w:cs="Tahoma"/>
          <w:color w:val="2F5496" w:themeColor="accent1" w:themeShade="BF"/>
          <w:spacing w:val="-6"/>
          <w:sz w:val="18"/>
          <w:szCs w:val="18"/>
          <w:lang w:val="it-IT"/>
        </w:rPr>
        <w:t>6</w:t>
      </w:r>
    </w:p>
    <w:p w14:paraId="33202F0C" w14:textId="37F32790" w:rsidR="00C2553B" w:rsidRPr="00904CED" w:rsidRDefault="00C2553B" w:rsidP="00B62923">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2.6) DISPONIBILTA` DI MATERIE PRIME</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6</w:t>
      </w:r>
    </w:p>
    <w:p w14:paraId="63069092" w14:textId="77777777" w:rsidR="00B62923" w:rsidRPr="00904CED" w:rsidRDefault="00B62923" w:rsidP="00B62923">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p>
    <w:p w14:paraId="1E9830F4" w14:textId="0F64C16E" w:rsidR="00C2553B" w:rsidRPr="00904CED" w:rsidRDefault="00C2553B" w:rsidP="00B62923">
      <w:pPr>
        <w:pStyle w:val="NormalWeb"/>
        <w:numPr>
          <w:ilvl w:val="0"/>
          <w:numId w:val="27"/>
        </w:numPr>
        <w:shd w:val="clear" w:color="auto" w:fill="FFFFFF"/>
        <w:spacing w:before="0" w:beforeAutospacing="0" w:line="360" w:lineRule="auto"/>
        <w:contextualSpacing/>
        <w:rPr>
          <w:rFonts w:ascii="Tahoma" w:hAnsi="Tahoma" w:cs="Tahoma"/>
          <w:b/>
          <w:bCs/>
          <w:color w:val="2F5496" w:themeColor="accent1" w:themeShade="BF"/>
          <w:spacing w:val="-6"/>
          <w:sz w:val="22"/>
          <w:szCs w:val="22"/>
          <w:lang w:val="it-IT"/>
        </w:rPr>
      </w:pPr>
      <w:r w:rsidRPr="00904CED">
        <w:rPr>
          <w:rFonts w:ascii="Tahoma" w:hAnsi="Tahoma" w:cs="Tahoma"/>
          <w:b/>
          <w:bCs/>
          <w:color w:val="2F5496" w:themeColor="accent1" w:themeShade="BF"/>
          <w:spacing w:val="-6"/>
          <w:sz w:val="22"/>
          <w:szCs w:val="22"/>
          <w:lang w:val="it-IT"/>
        </w:rPr>
        <w:t>RAPPORTI ECONOMICO-COMMERCIALI TRA ITALIA E NUOVA ZELANDA</w:t>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t>6</w:t>
      </w:r>
    </w:p>
    <w:p w14:paraId="1089F572" w14:textId="77777777" w:rsidR="00B62923" w:rsidRPr="00904CED" w:rsidRDefault="00B62923" w:rsidP="00B62923">
      <w:pPr>
        <w:pStyle w:val="NormalWeb"/>
        <w:shd w:val="clear" w:color="auto" w:fill="FFFFFF"/>
        <w:spacing w:before="0" w:beforeAutospacing="0" w:line="360" w:lineRule="auto"/>
        <w:ind w:left="720"/>
        <w:contextualSpacing/>
        <w:rPr>
          <w:rFonts w:ascii="Tahoma" w:hAnsi="Tahoma" w:cs="Tahoma"/>
          <w:b/>
          <w:bCs/>
          <w:color w:val="2F5496" w:themeColor="accent1" w:themeShade="BF"/>
          <w:spacing w:val="-6"/>
          <w:lang w:val="it-IT"/>
        </w:rPr>
      </w:pPr>
    </w:p>
    <w:p w14:paraId="17F7C6EB" w14:textId="3B8F2A53" w:rsidR="00B62923" w:rsidRPr="00904CED" w:rsidRDefault="00C2553B" w:rsidP="00B62923">
      <w:pPr>
        <w:pStyle w:val="NormalWeb"/>
        <w:numPr>
          <w:ilvl w:val="0"/>
          <w:numId w:val="27"/>
        </w:numPr>
        <w:shd w:val="clear" w:color="auto" w:fill="FFFFFF"/>
        <w:spacing w:before="0" w:beforeAutospacing="0" w:line="360" w:lineRule="auto"/>
        <w:contextualSpacing/>
        <w:rPr>
          <w:rFonts w:ascii="Tahoma" w:hAnsi="Tahoma" w:cs="Tahoma"/>
          <w:b/>
          <w:bCs/>
          <w:color w:val="2F5496" w:themeColor="accent1" w:themeShade="BF"/>
          <w:spacing w:val="-6"/>
          <w:sz w:val="22"/>
          <w:szCs w:val="22"/>
          <w:lang w:val="it-IT"/>
        </w:rPr>
      </w:pPr>
      <w:r w:rsidRPr="00904CED">
        <w:rPr>
          <w:rFonts w:ascii="Tahoma" w:hAnsi="Tahoma" w:cs="Tahoma"/>
          <w:b/>
          <w:bCs/>
          <w:color w:val="2F5496" w:themeColor="accent1" w:themeShade="BF"/>
          <w:spacing w:val="-6"/>
          <w:sz w:val="22"/>
          <w:szCs w:val="22"/>
          <w:lang w:val="it-IT"/>
        </w:rPr>
        <w:t>INVESTIMENTI DIRETTI ESTERI</w:t>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r>
      <w:r w:rsidR="00E42641" w:rsidRPr="00904CED">
        <w:rPr>
          <w:rFonts w:ascii="Tahoma" w:hAnsi="Tahoma" w:cs="Tahoma"/>
          <w:b/>
          <w:bCs/>
          <w:color w:val="2F5496" w:themeColor="accent1" w:themeShade="BF"/>
          <w:spacing w:val="-6"/>
          <w:sz w:val="22"/>
          <w:szCs w:val="22"/>
          <w:lang w:val="it-IT"/>
        </w:rPr>
        <w:tab/>
        <w:t>11</w:t>
      </w:r>
    </w:p>
    <w:p w14:paraId="0118C53E" w14:textId="2192B2C3" w:rsidR="00C2553B" w:rsidRPr="00904CED" w:rsidRDefault="00720234" w:rsidP="00720234">
      <w:pPr>
        <w:pStyle w:val="NormalWeb"/>
        <w:shd w:val="clear" w:color="auto" w:fill="FFFFFF"/>
        <w:spacing w:before="0" w:beforeAutospacing="0" w:line="360" w:lineRule="auto"/>
        <w:contextualSpacing/>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4.1) NORMATIVA IN MATERIA DI INVESTIMENTI DIRETTI ESTERI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11</w:t>
      </w:r>
    </w:p>
    <w:p w14:paraId="12922F90" w14:textId="12648108" w:rsidR="00A70214" w:rsidRPr="00904CED" w:rsidRDefault="00A70214" w:rsidP="00720234">
      <w:pPr>
        <w:pStyle w:val="NormalWeb"/>
        <w:shd w:val="clear" w:color="auto" w:fill="FFFFFF"/>
        <w:spacing w:before="0" w:beforeAutospacing="0" w:line="360" w:lineRule="auto"/>
        <w:contextualSpacing/>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4.2) INVEST NEW ZEALAND</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14</w:t>
      </w:r>
    </w:p>
    <w:p w14:paraId="3690E1AD" w14:textId="77777777" w:rsidR="00B62923" w:rsidRPr="00904CED" w:rsidRDefault="00B62923" w:rsidP="00720234">
      <w:pPr>
        <w:pStyle w:val="NormalWeb"/>
        <w:shd w:val="clear" w:color="auto" w:fill="FFFFFF"/>
        <w:spacing w:before="0" w:beforeAutospacing="0" w:line="360" w:lineRule="auto"/>
        <w:contextualSpacing/>
        <w:rPr>
          <w:rFonts w:ascii="Tahoma" w:hAnsi="Tahoma" w:cs="Tahoma"/>
          <w:color w:val="2F5496" w:themeColor="accent1" w:themeShade="BF"/>
          <w:spacing w:val="-6"/>
          <w:sz w:val="18"/>
          <w:szCs w:val="18"/>
          <w:lang w:val="it-IT"/>
        </w:rPr>
      </w:pPr>
    </w:p>
    <w:p w14:paraId="37EA58D4" w14:textId="0670BDCF" w:rsidR="00720234" w:rsidRPr="00904CED" w:rsidRDefault="00720234" w:rsidP="00720234">
      <w:pPr>
        <w:pStyle w:val="NormalWeb"/>
        <w:numPr>
          <w:ilvl w:val="0"/>
          <w:numId w:val="27"/>
        </w:numPr>
        <w:shd w:val="clear" w:color="auto" w:fill="FFFFFF"/>
        <w:spacing w:before="0" w:beforeAutospacing="0" w:after="0" w:afterAutospacing="0" w:line="360" w:lineRule="auto"/>
        <w:contextualSpacing/>
        <w:rPr>
          <w:rFonts w:ascii="Tahoma" w:hAnsi="Tahoma" w:cs="Tahoma"/>
          <w:b/>
          <w:bCs/>
          <w:color w:val="2F5496" w:themeColor="accent1" w:themeShade="BF"/>
          <w:spacing w:val="-6"/>
          <w:sz w:val="22"/>
          <w:szCs w:val="22"/>
          <w:lang w:val="it-IT"/>
        </w:rPr>
      </w:pPr>
      <w:r w:rsidRPr="00904CED">
        <w:rPr>
          <w:rFonts w:ascii="Tahoma" w:hAnsi="Tahoma" w:cs="Tahoma"/>
          <w:b/>
          <w:bCs/>
          <w:color w:val="2F5496" w:themeColor="accent1" w:themeShade="BF"/>
          <w:spacing w:val="-6"/>
          <w:sz w:val="22"/>
          <w:szCs w:val="22"/>
          <w:lang w:val="it-IT"/>
        </w:rPr>
        <w:t xml:space="preserve">SETTORI ED OPPORTUNITA` D’INVESTIMENTO PER LE IMPRESE ITALIANE </w:t>
      </w:r>
      <w:r w:rsidR="00E42641" w:rsidRPr="00904CED">
        <w:rPr>
          <w:rFonts w:ascii="Tahoma" w:hAnsi="Tahoma" w:cs="Tahoma"/>
          <w:b/>
          <w:bCs/>
          <w:color w:val="2F5496" w:themeColor="accent1" w:themeShade="BF"/>
          <w:spacing w:val="-6"/>
          <w:sz w:val="22"/>
          <w:szCs w:val="22"/>
          <w:lang w:val="it-IT"/>
        </w:rPr>
        <w:tab/>
        <w:t>14</w:t>
      </w:r>
    </w:p>
    <w:p w14:paraId="111A2CB3" w14:textId="6E56D476" w:rsidR="00C2553B"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5.1) ALLEVAMENTO E ACQUACOLTURA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15</w:t>
      </w:r>
    </w:p>
    <w:p w14:paraId="2E51E9EF" w14:textId="427D8256"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5.2) RACCOLTRA, TRASFORMAZIONE E LOGISTICA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15</w:t>
      </w:r>
    </w:p>
    <w:p w14:paraId="482E904B" w14:textId="2F53FE50"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5.3) PRODUZIONE DI MATERIE PRIME E BIOENERGIA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15</w:t>
      </w:r>
    </w:p>
    <w:p w14:paraId="6829B942" w14:textId="285F4357" w:rsidR="00720234" w:rsidRPr="00904CED" w:rsidRDefault="00720234" w:rsidP="00720234">
      <w:pPr>
        <w:widowControl w:val="0"/>
        <w:autoSpaceDE w:val="0"/>
        <w:autoSpaceDN w:val="0"/>
        <w:spacing w:before="0" w:after="0" w:line="276"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5.4) PROTEINE ALTERNATIVE E AGRICOLTURA RIGENERATIVA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16</w:t>
      </w:r>
    </w:p>
    <w:p w14:paraId="407B5782" w14:textId="027785D3"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5.5) ECONOMIA CIRCOLARE, MATERIALI SOSTENIBILI E TRASPORTI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16</w:t>
      </w:r>
    </w:p>
    <w:p w14:paraId="7E626820" w14:textId="0502E0CF"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5.6) GREEN DATA CENTRE E SOLUZIONI DIGITALI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17</w:t>
      </w:r>
    </w:p>
    <w:p w14:paraId="4636E7FC" w14:textId="7CF7A1EA"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5.7) OPPORTUNITA`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17</w:t>
      </w:r>
    </w:p>
    <w:p w14:paraId="18DB1626" w14:textId="34CE6083" w:rsidR="00A70214" w:rsidRPr="00904CED" w:rsidRDefault="00A7021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5.8) OPPORTUNITA` DIFESA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18</w:t>
      </w:r>
    </w:p>
    <w:p w14:paraId="08F186DD" w14:textId="6C594420" w:rsidR="00B62923" w:rsidRPr="00904CED" w:rsidRDefault="00E42641"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ab/>
      </w:r>
    </w:p>
    <w:p w14:paraId="46DA4D40" w14:textId="7DBB12A6" w:rsidR="00B62923" w:rsidRPr="00904CED" w:rsidRDefault="00720234" w:rsidP="00FD3F32">
      <w:pPr>
        <w:pStyle w:val="ListParagraph"/>
        <w:widowControl w:val="0"/>
        <w:numPr>
          <w:ilvl w:val="0"/>
          <w:numId w:val="27"/>
        </w:numPr>
        <w:autoSpaceDE w:val="0"/>
        <w:autoSpaceDN w:val="0"/>
        <w:spacing w:before="0" w:after="0" w:line="360" w:lineRule="auto"/>
        <w:jc w:val="left"/>
        <w:rPr>
          <w:rFonts w:ascii="Tahoma" w:hAnsi="Tahoma" w:cs="Tahoma"/>
          <w:b/>
          <w:bCs/>
          <w:color w:val="2F5496" w:themeColor="accent1" w:themeShade="BF"/>
          <w:spacing w:val="-6"/>
          <w:lang w:val="it-IT"/>
        </w:rPr>
      </w:pPr>
      <w:r w:rsidRPr="00904CED">
        <w:rPr>
          <w:rFonts w:ascii="Tahoma" w:hAnsi="Tahoma" w:cs="Tahoma"/>
          <w:b/>
          <w:bCs/>
          <w:color w:val="2F5496" w:themeColor="accent1" w:themeShade="BF"/>
          <w:spacing w:val="-6"/>
          <w:lang w:val="it-IT"/>
        </w:rPr>
        <w:t>PRINCIPALI CRITICIT</w:t>
      </w:r>
      <w:r w:rsidR="00E42641" w:rsidRPr="00904CED">
        <w:rPr>
          <w:rFonts w:ascii="Tahoma" w:hAnsi="Tahoma" w:cs="Tahoma"/>
          <w:b/>
          <w:bCs/>
          <w:color w:val="2F5496" w:themeColor="accent1" w:themeShade="BF"/>
          <w:spacing w:val="-6"/>
          <w:lang w:val="it-IT"/>
        </w:rPr>
        <w:t xml:space="preserve">À </w:t>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t>20</w:t>
      </w:r>
    </w:p>
    <w:p w14:paraId="71067BC4" w14:textId="77777777" w:rsidR="00FD3F32" w:rsidRPr="00904CED" w:rsidRDefault="00FD3F32" w:rsidP="00FD3F32">
      <w:pPr>
        <w:widowControl w:val="0"/>
        <w:autoSpaceDE w:val="0"/>
        <w:autoSpaceDN w:val="0"/>
        <w:spacing w:before="0" w:after="0" w:line="240" w:lineRule="auto"/>
        <w:jc w:val="left"/>
        <w:rPr>
          <w:rFonts w:ascii="Tahoma" w:hAnsi="Tahoma" w:cs="Tahoma"/>
          <w:b/>
          <w:bCs/>
          <w:color w:val="2F5496" w:themeColor="accent1" w:themeShade="BF"/>
          <w:spacing w:val="-6"/>
          <w:lang w:val="it-IT"/>
        </w:rPr>
      </w:pPr>
    </w:p>
    <w:p w14:paraId="3185E1CE" w14:textId="63F8C2BD" w:rsidR="00720234" w:rsidRPr="00904CED" w:rsidRDefault="00720234" w:rsidP="00720234">
      <w:pPr>
        <w:pStyle w:val="ListParagraph"/>
        <w:widowControl w:val="0"/>
        <w:numPr>
          <w:ilvl w:val="0"/>
          <w:numId w:val="27"/>
        </w:numPr>
        <w:autoSpaceDE w:val="0"/>
        <w:autoSpaceDN w:val="0"/>
        <w:spacing w:before="0" w:after="0" w:line="360" w:lineRule="auto"/>
        <w:jc w:val="left"/>
        <w:rPr>
          <w:rFonts w:ascii="Tahoma" w:hAnsi="Tahoma" w:cs="Tahoma"/>
          <w:b/>
          <w:bCs/>
          <w:color w:val="2F5496" w:themeColor="accent1" w:themeShade="BF"/>
          <w:spacing w:val="-6"/>
          <w:lang w:val="it-IT"/>
        </w:rPr>
      </w:pPr>
      <w:r w:rsidRPr="00904CED">
        <w:rPr>
          <w:rFonts w:ascii="Tahoma" w:hAnsi="Tahoma" w:cs="Tahoma"/>
          <w:b/>
          <w:bCs/>
          <w:color w:val="2F5496" w:themeColor="accent1" w:themeShade="BF"/>
          <w:spacing w:val="-6"/>
          <w:lang w:val="it-IT"/>
        </w:rPr>
        <w:t>RICERCA SCIENTIFICA E INNOVAZIONE IN NUOVA ZELANDA</w:t>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r>
      <w:r w:rsidR="00E42641" w:rsidRPr="00904CED">
        <w:rPr>
          <w:rFonts w:ascii="Tahoma" w:hAnsi="Tahoma" w:cs="Tahoma"/>
          <w:b/>
          <w:bCs/>
          <w:color w:val="2F5496" w:themeColor="accent1" w:themeShade="BF"/>
          <w:spacing w:val="-6"/>
          <w:lang w:val="it-IT"/>
        </w:rPr>
        <w:tab/>
        <w:t>21</w:t>
      </w:r>
    </w:p>
    <w:p w14:paraId="793889AB" w14:textId="751C74D4"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7.1) GUIDA ALLE OPPORTUNITA` PER LE AZIENDE ITALIANE</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21</w:t>
      </w:r>
    </w:p>
    <w:p w14:paraId="1617FF44" w14:textId="2A48CD83"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7.2) UN SISTEMA DELLA RICERCA IN EVOLUZIONE</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21</w:t>
      </w:r>
    </w:p>
    <w:p w14:paraId="4FD81D87" w14:textId="268D101C"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7.3) NUOVE ISTITUZIONI, NUOVI POLI DI ECCELLENZA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22</w:t>
      </w:r>
    </w:p>
    <w:p w14:paraId="1DCEA907" w14:textId="06B9642B" w:rsidR="00720234" w:rsidRPr="00904CED" w:rsidRDefault="00720234"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 xml:space="preserve">7.4) </w:t>
      </w:r>
      <w:r w:rsidR="00DC3A1F" w:rsidRPr="00904CED">
        <w:rPr>
          <w:rFonts w:ascii="Tahoma" w:hAnsi="Tahoma" w:cs="Tahoma"/>
          <w:color w:val="2F5496" w:themeColor="accent1" w:themeShade="BF"/>
          <w:spacing w:val="-6"/>
          <w:sz w:val="18"/>
          <w:szCs w:val="18"/>
          <w:lang w:val="it-IT"/>
        </w:rPr>
        <w:t>PRIORITA` SCIENTIFICHE E TECNOLOGICHE DELLA NUOVA ZELANDA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22</w:t>
      </w:r>
    </w:p>
    <w:p w14:paraId="25F353A1" w14:textId="386919FA" w:rsidR="00DC3A1F" w:rsidRPr="00904CED" w:rsidRDefault="00DC3A1F"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7.5) INIZIATIVE DI FINANZIAMENTO E SUPPORTO ALL’INNOVAZIONE</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23</w:t>
      </w:r>
    </w:p>
    <w:p w14:paraId="255B207C" w14:textId="166A080E" w:rsidR="00DC3A1F" w:rsidRPr="00904CED" w:rsidRDefault="00DC3A1F"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7.6) INTEGRAZIONE DELLA CONOSCENZA MAORI E MODELLI INCLUSIVI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24</w:t>
      </w:r>
    </w:p>
    <w:p w14:paraId="09731422" w14:textId="17944140" w:rsidR="00DC3A1F" w:rsidRPr="00904CED" w:rsidRDefault="00DC3A1F" w:rsidP="00720234">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7.7) CRITICITA` NEL SETTORE DELLA RICERCA</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25</w:t>
      </w:r>
    </w:p>
    <w:p w14:paraId="64B0D8B8" w14:textId="2BA1EAC2" w:rsidR="00C2553B" w:rsidRPr="00904CED" w:rsidRDefault="00DC3A1F" w:rsidP="00B62923">
      <w:pPr>
        <w:widowControl w:val="0"/>
        <w:autoSpaceDE w:val="0"/>
        <w:autoSpaceDN w:val="0"/>
        <w:spacing w:before="0" w:after="0" w:line="360" w:lineRule="auto"/>
        <w:jc w:val="left"/>
        <w:rPr>
          <w:rFonts w:ascii="Tahoma" w:hAnsi="Tahoma" w:cs="Tahoma"/>
          <w:color w:val="2F5496" w:themeColor="accent1" w:themeShade="BF"/>
          <w:spacing w:val="-6"/>
          <w:sz w:val="18"/>
          <w:szCs w:val="18"/>
          <w:lang w:val="it-IT"/>
        </w:rPr>
      </w:pPr>
      <w:r w:rsidRPr="00904CED">
        <w:rPr>
          <w:rFonts w:ascii="Tahoma" w:hAnsi="Tahoma" w:cs="Tahoma"/>
          <w:color w:val="2F5496" w:themeColor="accent1" w:themeShade="BF"/>
          <w:spacing w:val="-6"/>
          <w:sz w:val="18"/>
          <w:szCs w:val="18"/>
          <w:lang w:val="it-IT"/>
        </w:rPr>
        <w:t>7.8) CONCLUSIONI</w:t>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r>
      <w:r w:rsidR="00E42641" w:rsidRPr="00904CED">
        <w:rPr>
          <w:rFonts w:ascii="Tahoma" w:hAnsi="Tahoma" w:cs="Tahoma"/>
          <w:color w:val="2F5496" w:themeColor="accent1" w:themeShade="BF"/>
          <w:spacing w:val="-6"/>
          <w:sz w:val="18"/>
          <w:szCs w:val="18"/>
          <w:lang w:val="it-IT"/>
        </w:rPr>
        <w:tab/>
        <w:t>25</w:t>
      </w:r>
    </w:p>
    <w:p w14:paraId="32F60873" w14:textId="02B3B4E1" w:rsidR="00B62923" w:rsidRDefault="00B62923" w:rsidP="00B62923">
      <w:pPr>
        <w:widowControl w:val="0"/>
        <w:autoSpaceDE w:val="0"/>
        <w:autoSpaceDN w:val="0"/>
        <w:spacing w:before="0" w:after="0" w:line="360" w:lineRule="auto"/>
        <w:jc w:val="left"/>
        <w:rPr>
          <w:rFonts w:ascii="Tahoma" w:hAnsi="Tahoma" w:cs="Tahoma"/>
          <w:color w:val="4472C4" w:themeColor="accent1"/>
          <w:spacing w:val="-6"/>
          <w:sz w:val="18"/>
          <w:szCs w:val="18"/>
          <w:lang w:val="it-IT"/>
        </w:rPr>
      </w:pPr>
    </w:p>
    <w:p w14:paraId="432EC8EC" w14:textId="74DECD84" w:rsidR="000422CD" w:rsidRDefault="000422CD" w:rsidP="00B62923">
      <w:pPr>
        <w:widowControl w:val="0"/>
        <w:autoSpaceDE w:val="0"/>
        <w:autoSpaceDN w:val="0"/>
        <w:spacing w:before="0" w:after="0" w:line="360" w:lineRule="auto"/>
        <w:jc w:val="left"/>
        <w:rPr>
          <w:rFonts w:ascii="Tahoma" w:hAnsi="Tahoma" w:cs="Tahoma"/>
          <w:color w:val="4472C4" w:themeColor="accent1"/>
          <w:spacing w:val="-6"/>
          <w:sz w:val="18"/>
          <w:szCs w:val="18"/>
          <w:lang w:val="it-IT"/>
        </w:rPr>
      </w:pPr>
    </w:p>
    <w:p w14:paraId="227F323F" w14:textId="77777777" w:rsidR="000422CD" w:rsidRDefault="000422CD" w:rsidP="00B62923">
      <w:pPr>
        <w:widowControl w:val="0"/>
        <w:autoSpaceDE w:val="0"/>
        <w:autoSpaceDN w:val="0"/>
        <w:spacing w:before="0" w:after="0" w:line="360" w:lineRule="auto"/>
        <w:jc w:val="left"/>
        <w:rPr>
          <w:rFonts w:ascii="Tahoma" w:hAnsi="Tahoma" w:cs="Tahoma"/>
          <w:color w:val="4472C4" w:themeColor="accent1"/>
          <w:spacing w:val="-6"/>
          <w:sz w:val="18"/>
          <w:szCs w:val="18"/>
          <w:lang w:val="it-IT"/>
        </w:rPr>
      </w:pPr>
    </w:p>
    <w:p w14:paraId="0EC71E59" w14:textId="04B766F1" w:rsidR="00B62923" w:rsidRPr="00FD3F32" w:rsidRDefault="00B62923" w:rsidP="00FD3F32">
      <w:pPr>
        <w:widowControl w:val="0"/>
        <w:autoSpaceDE w:val="0"/>
        <w:autoSpaceDN w:val="0"/>
        <w:spacing w:before="0" w:after="0" w:line="360" w:lineRule="auto"/>
        <w:jc w:val="left"/>
        <w:rPr>
          <w:rFonts w:ascii="Tahoma" w:hAnsi="Tahoma" w:cs="Tahoma"/>
          <w:color w:val="2F5496" w:themeColor="accent1" w:themeShade="BF"/>
          <w:spacing w:val="-6"/>
          <w:lang w:val="it-IT"/>
        </w:rPr>
      </w:pPr>
      <w:r w:rsidRPr="00FD3F32">
        <w:rPr>
          <w:rFonts w:ascii="Tahoma" w:hAnsi="Tahoma" w:cs="Tahoma"/>
          <w:b/>
          <w:bCs/>
          <w:color w:val="2F5496" w:themeColor="accent1" w:themeShade="BF"/>
          <w:spacing w:val="-6"/>
          <w:lang w:val="it-IT"/>
        </w:rPr>
        <w:t>Fonti bibliografiche</w:t>
      </w:r>
    </w:p>
    <w:p w14:paraId="0AF4ED0B" w14:textId="53D9EE38" w:rsidR="000422CD" w:rsidRPr="00F7077D" w:rsidRDefault="000422CD" w:rsidP="000422CD">
      <w:pPr>
        <w:widowControl w:val="0"/>
        <w:autoSpaceDE w:val="0"/>
        <w:autoSpaceDN w:val="0"/>
        <w:spacing w:before="0" w:after="0" w:line="360" w:lineRule="auto"/>
        <w:jc w:val="left"/>
        <w:rPr>
          <w:rFonts w:ascii="Tahoma" w:hAnsi="Tahoma" w:cs="Tahoma"/>
          <w:color w:val="4472C4" w:themeColor="accent1"/>
          <w:spacing w:val="-6"/>
          <w:sz w:val="24"/>
          <w:szCs w:val="24"/>
          <w:lang w:val="it-IT"/>
        </w:rPr>
      </w:pPr>
    </w:p>
    <w:p w14:paraId="13504FDD" w14:textId="77777777" w:rsidR="00F7077D" w:rsidRPr="00F7077D" w:rsidRDefault="00E01CC4" w:rsidP="00F7077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hyperlink r:id="rId10" w:history="1">
        <w:r w:rsidR="00F7077D" w:rsidRPr="00F7077D">
          <w:rPr>
            <w:rStyle w:val="Hyperlink"/>
            <w:rFonts w:ascii="Tahoma" w:hAnsi="Tahoma" w:cs="Tahoma"/>
            <w:sz w:val="24"/>
            <w:szCs w:val="24"/>
          </w:rPr>
          <w:t>Budget Economic and Fiscal Update 2025 | The Treasury New Zealand</w:t>
        </w:r>
      </w:hyperlink>
    </w:p>
    <w:p w14:paraId="0212B87A" w14:textId="77777777" w:rsidR="00F7077D" w:rsidRPr="00F7077D" w:rsidRDefault="00F7077D" w:rsidP="00F7077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r w:rsidRPr="00F7077D">
        <w:rPr>
          <w:rFonts w:ascii="Tahoma" w:hAnsi="Tahoma" w:cs="Tahoma"/>
          <w:sz w:val="24"/>
          <w:szCs w:val="24"/>
          <w:lang w:val="en-NZ"/>
        </w:rPr>
        <w:t>Eurosupport Consortium, European Union-New Zealand. Investment Study</w:t>
      </w:r>
    </w:p>
    <w:p w14:paraId="6A94C783" w14:textId="74EC2F45" w:rsidR="00D32C3D" w:rsidRPr="00F7077D" w:rsidRDefault="00D32C3D" w:rsidP="00D32C3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bookmarkStart w:id="3" w:name="_Hlk215224091"/>
      <w:r w:rsidRPr="00F7077D">
        <w:rPr>
          <w:rFonts w:ascii="Tahoma" w:hAnsi="Tahoma" w:cs="Tahoma"/>
          <w:color w:val="000000" w:themeColor="text1"/>
          <w:spacing w:val="-6"/>
          <w:sz w:val="24"/>
          <w:szCs w:val="24"/>
          <w:lang w:val="en-NZ"/>
        </w:rPr>
        <w:t>Italian Trade Agency Sydney, Scheda Paese Nuova Zelanda, 2025</w:t>
      </w:r>
    </w:p>
    <w:bookmarkEnd w:id="3"/>
    <w:p w14:paraId="23DE6001" w14:textId="47A69CE4" w:rsidR="00D32C3D" w:rsidRPr="00F7077D" w:rsidRDefault="00D32C3D" w:rsidP="00D32C3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it-IT"/>
        </w:rPr>
      </w:pPr>
      <w:r w:rsidRPr="00F7077D">
        <w:rPr>
          <w:rFonts w:ascii="Tahoma" w:hAnsi="Tahoma" w:cs="Tahoma"/>
          <w:sz w:val="24"/>
          <w:szCs w:val="24"/>
        </w:rPr>
        <w:fldChar w:fldCharType="begin"/>
      </w:r>
      <w:r w:rsidRPr="00F7077D">
        <w:rPr>
          <w:rFonts w:ascii="Tahoma" w:hAnsi="Tahoma" w:cs="Tahoma"/>
          <w:sz w:val="24"/>
          <w:szCs w:val="24"/>
          <w:lang w:val="it-IT"/>
        </w:rPr>
        <w:instrText xml:space="preserve"> HYPERLINK "https://www.infomercatiesteri.it/paese.php?id_paesi=135" </w:instrText>
      </w:r>
      <w:r w:rsidRPr="00F7077D">
        <w:rPr>
          <w:rFonts w:ascii="Tahoma" w:hAnsi="Tahoma" w:cs="Tahoma"/>
          <w:sz w:val="24"/>
          <w:szCs w:val="24"/>
        </w:rPr>
        <w:fldChar w:fldCharType="separate"/>
      </w:r>
      <w:r w:rsidRPr="00F7077D">
        <w:rPr>
          <w:rStyle w:val="Hyperlink"/>
          <w:rFonts w:ascii="Tahoma" w:hAnsi="Tahoma" w:cs="Tahoma"/>
          <w:sz w:val="24"/>
          <w:szCs w:val="24"/>
          <w:lang w:val="it-IT"/>
        </w:rPr>
        <w:t>Homepage (NUOVA ZELANDA) - infoMercatiEsteri - www.infomercatiesteri.it</w:t>
      </w:r>
      <w:r w:rsidRPr="00F7077D">
        <w:rPr>
          <w:rFonts w:ascii="Tahoma" w:hAnsi="Tahoma" w:cs="Tahoma"/>
          <w:sz w:val="24"/>
          <w:szCs w:val="24"/>
        </w:rPr>
        <w:fldChar w:fldCharType="end"/>
      </w:r>
      <w:r w:rsidRPr="00F7077D">
        <w:rPr>
          <w:rFonts w:ascii="Tahoma" w:hAnsi="Tahoma" w:cs="Tahoma"/>
          <w:sz w:val="24"/>
          <w:szCs w:val="24"/>
          <w:lang w:val="it-IT"/>
        </w:rPr>
        <w:t xml:space="preserve"> </w:t>
      </w:r>
    </w:p>
    <w:p w14:paraId="2B560625" w14:textId="77777777" w:rsidR="00F7077D" w:rsidRPr="00F7077D" w:rsidRDefault="00E01CC4" w:rsidP="00F7077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hyperlink r:id="rId11" w:history="1">
        <w:r w:rsidR="00F7077D" w:rsidRPr="00F7077D">
          <w:rPr>
            <w:rStyle w:val="Hyperlink"/>
            <w:rFonts w:ascii="Tahoma" w:hAnsi="Tahoma" w:cs="Tahoma"/>
            <w:sz w:val="24"/>
            <w:szCs w:val="24"/>
          </w:rPr>
          <w:t>Horizon Europe - Research and innovation - European Commission</w:t>
        </w:r>
      </w:hyperlink>
      <w:r w:rsidR="00F7077D" w:rsidRPr="00F7077D">
        <w:rPr>
          <w:rFonts w:ascii="Tahoma" w:hAnsi="Tahoma" w:cs="Tahoma"/>
          <w:sz w:val="24"/>
          <w:szCs w:val="24"/>
        </w:rPr>
        <w:t xml:space="preserve"> </w:t>
      </w:r>
    </w:p>
    <w:p w14:paraId="2EF3A05F" w14:textId="77777777" w:rsidR="00F7077D" w:rsidRPr="00F7077D" w:rsidRDefault="00E01CC4" w:rsidP="00F7077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hyperlink r:id="rId12" w:history="1">
        <w:r w:rsidR="00F7077D" w:rsidRPr="00F7077D">
          <w:rPr>
            <w:rStyle w:val="Hyperlink"/>
            <w:rFonts w:ascii="Tahoma" w:hAnsi="Tahoma" w:cs="Tahoma"/>
            <w:sz w:val="24"/>
            <w:szCs w:val="24"/>
          </w:rPr>
          <w:t>Invest in New Zealand | Invest New Zealand home</w:t>
        </w:r>
      </w:hyperlink>
      <w:r w:rsidR="00F7077D" w:rsidRPr="00F7077D">
        <w:rPr>
          <w:rFonts w:ascii="Tahoma" w:hAnsi="Tahoma" w:cs="Tahoma"/>
          <w:sz w:val="24"/>
          <w:szCs w:val="24"/>
        </w:rPr>
        <w:t xml:space="preserve"> </w:t>
      </w:r>
    </w:p>
    <w:p w14:paraId="169426B5" w14:textId="702230BA" w:rsidR="00791D4C" w:rsidRPr="00791D4C" w:rsidRDefault="00F7077D" w:rsidP="00791D4C">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r w:rsidRPr="00A70214">
        <w:rPr>
          <w:rFonts w:ascii="Tahoma" w:hAnsi="Tahoma" w:cs="Tahoma"/>
          <w:color w:val="000000" w:themeColor="text1"/>
          <w:spacing w:val="-6"/>
          <w:sz w:val="24"/>
          <w:szCs w:val="24"/>
          <w:lang w:val="en-NZ"/>
        </w:rPr>
        <w:t>Ministry of Business, Innovation a</w:t>
      </w:r>
      <w:r w:rsidR="00A70214">
        <w:rPr>
          <w:rFonts w:ascii="Tahoma" w:hAnsi="Tahoma" w:cs="Tahoma"/>
          <w:color w:val="000000" w:themeColor="text1"/>
          <w:spacing w:val="-6"/>
          <w:sz w:val="24"/>
          <w:szCs w:val="24"/>
          <w:lang w:val="en-NZ"/>
        </w:rPr>
        <w:t>nd</w:t>
      </w:r>
      <w:r w:rsidRPr="00A70214">
        <w:rPr>
          <w:rFonts w:ascii="Tahoma" w:hAnsi="Tahoma" w:cs="Tahoma"/>
          <w:color w:val="000000" w:themeColor="text1"/>
          <w:spacing w:val="-6"/>
          <w:sz w:val="24"/>
          <w:szCs w:val="24"/>
          <w:lang w:val="en-NZ"/>
        </w:rPr>
        <w:t xml:space="preserve"> Employment </w:t>
      </w:r>
      <w:hyperlink r:id="rId13" w:history="1">
        <w:r w:rsidR="00791D4C" w:rsidRPr="00791D4C">
          <w:rPr>
            <w:rStyle w:val="Hyperlink"/>
            <w:rFonts w:ascii="Tahoma" w:hAnsi="Tahoma" w:cs="Tahoma"/>
            <w:sz w:val="24"/>
            <w:szCs w:val="24"/>
          </w:rPr>
          <w:t>https://www.mbie.govt.nz/science-and-technology/science-and-innovation/refocusing-the-science-innovation-and-technology-system/a-new-funding-strategy-for-the-science-system</w:t>
        </w:r>
      </w:hyperlink>
    </w:p>
    <w:p w14:paraId="6E998D98" w14:textId="6C75B6B7" w:rsidR="000422CD" w:rsidRPr="00A70214" w:rsidRDefault="00D32C3D" w:rsidP="000422CD">
      <w:pPr>
        <w:pStyle w:val="ListParagraph"/>
        <w:widowControl w:val="0"/>
        <w:numPr>
          <w:ilvl w:val="0"/>
          <w:numId w:val="36"/>
        </w:numPr>
        <w:autoSpaceDE w:val="0"/>
        <w:autoSpaceDN w:val="0"/>
        <w:spacing w:before="0" w:after="0" w:line="360" w:lineRule="auto"/>
        <w:jc w:val="left"/>
        <w:rPr>
          <w:rFonts w:ascii="Tahoma" w:hAnsi="Tahoma" w:cs="Tahoma"/>
          <w:color w:val="000000" w:themeColor="text1"/>
          <w:spacing w:val="-6"/>
          <w:sz w:val="24"/>
          <w:szCs w:val="24"/>
          <w:lang w:val="en-NZ"/>
        </w:rPr>
      </w:pPr>
      <w:r w:rsidRPr="00F7077D">
        <w:rPr>
          <w:rFonts w:ascii="Tahoma" w:hAnsi="Tahoma" w:cs="Tahoma"/>
          <w:color w:val="000000" w:themeColor="text1"/>
          <w:spacing w:val="-6"/>
          <w:sz w:val="24"/>
          <w:szCs w:val="24"/>
          <w:lang w:val="en-NZ"/>
        </w:rPr>
        <w:t>P</w:t>
      </w:r>
      <w:r w:rsidR="00191CE4" w:rsidRPr="00F7077D">
        <w:rPr>
          <w:rFonts w:ascii="Tahoma" w:hAnsi="Tahoma" w:cs="Tahoma"/>
          <w:color w:val="000000" w:themeColor="text1"/>
          <w:spacing w:val="-6"/>
          <w:sz w:val="24"/>
          <w:szCs w:val="24"/>
          <w:lang w:val="en-NZ"/>
        </w:rPr>
        <w:t>WC</w:t>
      </w:r>
      <w:r w:rsidRPr="00F7077D">
        <w:rPr>
          <w:rFonts w:ascii="Tahoma" w:hAnsi="Tahoma" w:cs="Tahoma"/>
          <w:color w:val="000000" w:themeColor="text1"/>
          <w:spacing w:val="-6"/>
          <w:sz w:val="24"/>
          <w:szCs w:val="24"/>
          <w:lang w:val="en-NZ"/>
        </w:rPr>
        <w:t>, A guide to doing business in Aotearoa New Zealand</w:t>
      </w:r>
    </w:p>
    <w:p w14:paraId="2DD8FAC6" w14:textId="7819584A" w:rsidR="000422CD" w:rsidRPr="00A70214" w:rsidRDefault="000422CD" w:rsidP="000422CD">
      <w:pPr>
        <w:widowControl w:val="0"/>
        <w:autoSpaceDE w:val="0"/>
        <w:autoSpaceDN w:val="0"/>
        <w:spacing w:before="0" w:after="0" w:line="360" w:lineRule="auto"/>
        <w:jc w:val="left"/>
        <w:rPr>
          <w:rFonts w:ascii="Tahoma" w:hAnsi="Tahoma" w:cs="Tahoma"/>
          <w:color w:val="4472C4" w:themeColor="accent1"/>
          <w:spacing w:val="-6"/>
          <w:lang w:val="en-NZ"/>
        </w:rPr>
      </w:pPr>
    </w:p>
    <w:p w14:paraId="7F5D1154" w14:textId="306ECCDC" w:rsidR="000422CD" w:rsidRPr="00A70214" w:rsidRDefault="000422CD" w:rsidP="000422CD">
      <w:pPr>
        <w:widowControl w:val="0"/>
        <w:autoSpaceDE w:val="0"/>
        <w:autoSpaceDN w:val="0"/>
        <w:spacing w:before="0" w:after="0" w:line="360" w:lineRule="auto"/>
        <w:jc w:val="left"/>
        <w:rPr>
          <w:rFonts w:ascii="Tahoma" w:hAnsi="Tahoma" w:cs="Tahoma"/>
          <w:color w:val="4472C4" w:themeColor="accent1"/>
          <w:spacing w:val="-6"/>
          <w:lang w:val="en-NZ"/>
        </w:rPr>
      </w:pPr>
    </w:p>
    <w:p w14:paraId="25B5EBD1" w14:textId="4F2466E0" w:rsidR="000422CD" w:rsidRPr="00A70214" w:rsidRDefault="000422CD" w:rsidP="000422CD">
      <w:pPr>
        <w:widowControl w:val="0"/>
        <w:autoSpaceDE w:val="0"/>
        <w:autoSpaceDN w:val="0"/>
        <w:spacing w:before="0" w:after="0" w:line="360" w:lineRule="auto"/>
        <w:jc w:val="left"/>
        <w:rPr>
          <w:rFonts w:ascii="Tahoma" w:hAnsi="Tahoma" w:cs="Tahoma"/>
          <w:color w:val="4472C4" w:themeColor="accent1"/>
          <w:spacing w:val="-6"/>
          <w:lang w:val="en-NZ"/>
        </w:rPr>
      </w:pPr>
    </w:p>
    <w:p w14:paraId="7B7E52DE" w14:textId="77777777" w:rsidR="00301F5E" w:rsidRPr="00A70214" w:rsidRDefault="00301F5E" w:rsidP="000422CD">
      <w:pPr>
        <w:widowControl w:val="0"/>
        <w:autoSpaceDE w:val="0"/>
        <w:autoSpaceDN w:val="0"/>
        <w:spacing w:before="0" w:after="0" w:line="360" w:lineRule="auto"/>
        <w:jc w:val="left"/>
        <w:rPr>
          <w:rFonts w:ascii="Tahoma" w:hAnsi="Tahoma" w:cs="Tahoma"/>
          <w:color w:val="4472C4" w:themeColor="accent1"/>
          <w:spacing w:val="-6"/>
          <w:lang w:val="en-NZ"/>
        </w:rPr>
        <w:sectPr w:rsidR="00301F5E" w:rsidRPr="00A70214">
          <w:headerReference w:type="default" r:id="rId14"/>
          <w:footerReference w:type="default" r:id="rId15"/>
          <w:pgSz w:w="11906" w:h="16838"/>
          <w:pgMar w:top="1440" w:right="1440" w:bottom="1440" w:left="1440" w:header="708" w:footer="708" w:gutter="0"/>
          <w:cols w:space="708"/>
          <w:docGrid w:linePitch="360"/>
        </w:sectPr>
      </w:pPr>
    </w:p>
    <w:p w14:paraId="47AFBD60" w14:textId="6407AD70" w:rsidR="005F3421" w:rsidRPr="00170EA6" w:rsidRDefault="005F3421" w:rsidP="00352DDF">
      <w:pPr>
        <w:pStyle w:val="ListParagraph"/>
        <w:widowControl w:val="0"/>
        <w:numPr>
          <w:ilvl w:val="0"/>
          <w:numId w:val="2"/>
        </w:numPr>
        <w:autoSpaceDE w:val="0"/>
        <w:autoSpaceDN w:val="0"/>
        <w:spacing w:before="0" w:after="0" w:line="360" w:lineRule="auto"/>
        <w:jc w:val="left"/>
        <w:rPr>
          <w:rFonts w:ascii="Tahoma" w:hAnsi="Tahoma" w:cs="Tahoma"/>
          <w:b/>
          <w:bCs/>
          <w:color w:val="215C8A"/>
          <w:spacing w:val="-6"/>
          <w:lang w:val="it-IT"/>
        </w:rPr>
      </w:pPr>
      <w:r w:rsidRPr="00170EA6">
        <w:rPr>
          <w:rFonts w:ascii="Tahoma" w:hAnsi="Tahoma" w:cs="Tahoma"/>
          <w:b/>
          <w:bCs/>
          <w:color w:val="215C8A"/>
          <w:spacing w:val="-6"/>
          <w:lang w:val="it-IT"/>
        </w:rPr>
        <w:lastRenderedPageBreak/>
        <w:t xml:space="preserve">RETE ITALIANA IN NUOVA ZELANDA </w:t>
      </w:r>
    </w:p>
    <w:bookmarkEnd w:id="0"/>
    <w:p w14:paraId="6798D685"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p>
    <w:p w14:paraId="2F60C3FC" w14:textId="10B76271" w:rsidR="00B62923" w:rsidRPr="0072365E"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r w:rsidRPr="0072365E">
        <w:rPr>
          <w:rFonts w:ascii="Tahoma" w:hAnsi="Tahoma" w:cs="Tahoma"/>
          <w:b/>
          <w:bCs/>
          <w:color w:val="215C8A"/>
          <w:spacing w:val="-6"/>
          <w:lang w:val="it-IT"/>
        </w:rPr>
        <w:t>Ambasciata d’Italia a Wellington</w:t>
      </w:r>
    </w:p>
    <w:p w14:paraId="66484BE3" w14:textId="6C3696DC" w:rsidR="00B62923" w:rsidRPr="0072365E" w:rsidRDefault="00B62923" w:rsidP="005B4556">
      <w:pPr>
        <w:widowControl w:val="0"/>
        <w:autoSpaceDE w:val="0"/>
        <w:autoSpaceDN w:val="0"/>
        <w:spacing w:before="0" w:after="0" w:line="360" w:lineRule="auto"/>
        <w:contextualSpacing/>
        <w:jc w:val="left"/>
        <w:rPr>
          <w:rFonts w:ascii="Tahoma" w:hAnsi="Tahoma" w:cs="Tahoma"/>
          <w:spacing w:val="-6"/>
          <w:lang w:val="it-IT"/>
        </w:rPr>
      </w:pPr>
      <w:r w:rsidRPr="0072365E">
        <w:rPr>
          <w:rFonts w:ascii="Tahoma" w:hAnsi="Tahoma" w:cs="Tahoma"/>
          <w:spacing w:val="-6"/>
          <w:lang w:val="it-IT"/>
        </w:rPr>
        <w:t>Ambasciatore: Cristiano Maggipinto</w:t>
      </w:r>
    </w:p>
    <w:p w14:paraId="1BD56F5B"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en-NZ"/>
        </w:rPr>
      </w:pPr>
      <w:r w:rsidRPr="00170EA6">
        <w:rPr>
          <w:rFonts w:ascii="Tahoma" w:hAnsi="Tahoma" w:cs="Tahoma"/>
          <w:color w:val="000000" w:themeColor="text1"/>
          <w:spacing w:val="-6"/>
          <w:lang w:val="en-NZ"/>
        </w:rPr>
        <w:t>34-38 Grant Road, Thorndon, Wellington 6011, NZ</w:t>
      </w:r>
    </w:p>
    <w:p w14:paraId="661DBD50"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en-NZ"/>
        </w:rPr>
      </w:pPr>
      <w:r w:rsidRPr="00170EA6">
        <w:rPr>
          <w:rFonts w:ascii="Tahoma" w:hAnsi="Tahoma" w:cs="Tahoma"/>
          <w:color w:val="000000" w:themeColor="text1"/>
          <w:spacing w:val="-6"/>
          <w:lang w:val="en-NZ"/>
        </w:rPr>
        <w:t>Tel:  </w:t>
      </w:r>
      <w:hyperlink r:id="rId16" w:history="1">
        <w:r w:rsidRPr="00170EA6">
          <w:rPr>
            <w:rStyle w:val="Hyperlink"/>
            <w:rFonts w:ascii="Tahoma" w:hAnsi="Tahoma" w:cs="Tahoma"/>
            <w:color w:val="000000" w:themeColor="text1"/>
            <w:spacing w:val="-6"/>
            <w:lang w:val="en-NZ"/>
          </w:rPr>
          <w:t>006444735339</w:t>
        </w:r>
      </w:hyperlink>
    </w:p>
    <w:p w14:paraId="1DF49C4D"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en-NZ"/>
        </w:rPr>
      </w:pPr>
      <w:r w:rsidRPr="00170EA6">
        <w:rPr>
          <w:rFonts w:ascii="Tahoma" w:hAnsi="Tahoma" w:cs="Tahoma"/>
          <w:color w:val="000000" w:themeColor="text1"/>
          <w:spacing w:val="-6"/>
          <w:lang w:val="en-NZ"/>
        </w:rPr>
        <w:t>Fax: </w:t>
      </w:r>
      <w:hyperlink r:id="rId17" w:history="1">
        <w:r w:rsidRPr="00170EA6">
          <w:rPr>
            <w:rStyle w:val="Hyperlink"/>
            <w:rFonts w:ascii="Tahoma" w:hAnsi="Tahoma" w:cs="Tahoma"/>
            <w:color w:val="000000" w:themeColor="text1"/>
            <w:spacing w:val="-6"/>
            <w:lang w:val="en-NZ"/>
          </w:rPr>
          <w:t>006444727255</w:t>
        </w:r>
      </w:hyperlink>
    </w:p>
    <w:p w14:paraId="4C1D0193" w14:textId="4D7BD021"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en-NZ"/>
        </w:rPr>
      </w:pPr>
      <w:r w:rsidRPr="00170EA6">
        <w:rPr>
          <w:rFonts w:ascii="Tahoma" w:hAnsi="Tahoma" w:cs="Tahoma"/>
          <w:color w:val="000000" w:themeColor="text1"/>
          <w:spacing w:val="-6"/>
          <w:lang w:val="en-NZ"/>
        </w:rPr>
        <w:t>E-mail: </w:t>
      </w:r>
      <w:hyperlink r:id="rId18" w:history="1">
        <w:r w:rsidRPr="0012787C">
          <w:rPr>
            <w:rStyle w:val="Hyperlink"/>
            <w:rFonts w:ascii="Tahoma" w:hAnsi="Tahoma" w:cs="Tahoma"/>
            <w:color w:val="0070C0"/>
            <w:spacing w:val="-6"/>
            <w:lang w:val="en-NZ"/>
          </w:rPr>
          <w:t>wellington.embassy@esteri.it</w:t>
        </w:r>
      </w:hyperlink>
    </w:p>
    <w:p w14:paraId="539F1F15"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en-NZ"/>
        </w:rPr>
      </w:pPr>
    </w:p>
    <w:bookmarkEnd w:id="1"/>
    <w:p w14:paraId="0FD248CF" w14:textId="05466D49" w:rsidR="005F3421" w:rsidRPr="00782ADD"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r w:rsidRPr="00782ADD">
        <w:rPr>
          <w:rFonts w:ascii="Tahoma" w:hAnsi="Tahoma" w:cs="Tahoma"/>
          <w:b/>
          <w:bCs/>
          <w:color w:val="215C8A"/>
          <w:spacing w:val="-6"/>
          <w:lang w:val="it-IT"/>
        </w:rPr>
        <w:t xml:space="preserve">Consolato Onorario d’Italia a Auckland </w:t>
      </w:r>
    </w:p>
    <w:p w14:paraId="79DB4AA1" w14:textId="35E213EC" w:rsidR="00B62923" w:rsidRPr="00782ADD" w:rsidRDefault="00B62923" w:rsidP="005B4556">
      <w:pPr>
        <w:widowControl w:val="0"/>
        <w:autoSpaceDE w:val="0"/>
        <w:autoSpaceDN w:val="0"/>
        <w:spacing w:before="0" w:after="0" w:line="360" w:lineRule="auto"/>
        <w:contextualSpacing/>
        <w:jc w:val="left"/>
        <w:rPr>
          <w:rFonts w:ascii="Tahoma" w:hAnsi="Tahoma" w:cs="Tahoma"/>
          <w:spacing w:val="-6"/>
          <w:lang w:val="it-IT"/>
        </w:rPr>
      </w:pPr>
      <w:r w:rsidRPr="00782ADD">
        <w:rPr>
          <w:rFonts w:ascii="Tahoma" w:hAnsi="Tahoma" w:cs="Tahoma"/>
          <w:spacing w:val="-6"/>
          <w:lang w:val="it-IT"/>
        </w:rPr>
        <w:t>Console Onorario: Lindsey Jones</w:t>
      </w:r>
    </w:p>
    <w:p w14:paraId="5FAD65D8" w14:textId="77777777" w:rsidR="00857AB9"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en-NZ"/>
        </w:rPr>
      </w:pPr>
      <w:r w:rsidRPr="00170EA6">
        <w:rPr>
          <w:rFonts w:ascii="Tahoma" w:hAnsi="Tahoma" w:cs="Tahoma"/>
          <w:color w:val="000000" w:themeColor="text1"/>
          <w:spacing w:val="-6"/>
          <w:lang w:val="en-NZ"/>
        </w:rPr>
        <w:t xml:space="preserve">28 Marine Parade, Herne Bay, Auckland, 1011 </w:t>
      </w:r>
    </w:p>
    <w:p w14:paraId="43C30C4A" w14:textId="16C005DB" w:rsidR="00F17510" w:rsidRPr="00782ADD"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782ADD">
        <w:rPr>
          <w:rFonts w:ascii="Tahoma" w:hAnsi="Tahoma" w:cs="Tahoma"/>
          <w:color w:val="000000" w:themeColor="text1"/>
          <w:spacing w:val="-6"/>
          <w:lang w:val="it-IT"/>
        </w:rPr>
        <w:t xml:space="preserve">Tel.+64 (0)27 4715 057 </w:t>
      </w:r>
    </w:p>
    <w:p w14:paraId="113FEFF7" w14:textId="425D1428" w:rsidR="005F3421" w:rsidRPr="00782ADD" w:rsidRDefault="005F3421" w:rsidP="005B4556">
      <w:pPr>
        <w:widowControl w:val="0"/>
        <w:autoSpaceDE w:val="0"/>
        <w:autoSpaceDN w:val="0"/>
        <w:spacing w:before="0" w:after="0" w:line="360" w:lineRule="auto"/>
        <w:contextualSpacing/>
        <w:jc w:val="left"/>
        <w:rPr>
          <w:rFonts w:ascii="Tahoma" w:hAnsi="Tahoma" w:cs="Tahoma"/>
          <w:color w:val="0070C0"/>
          <w:spacing w:val="-6"/>
          <w:u w:val="single"/>
          <w:lang w:val="it-IT"/>
        </w:rPr>
      </w:pPr>
      <w:r w:rsidRPr="00782ADD">
        <w:rPr>
          <w:rFonts w:ascii="Tahoma" w:hAnsi="Tahoma" w:cs="Tahoma"/>
          <w:color w:val="000000" w:themeColor="text1"/>
          <w:spacing w:val="-6"/>
          <w:lang w:val="it-IT"/>
        </w:rPr>
        <w:t>E-</w:t>
      </w:r>
      <w:r w:rsidR="00522979" w:rsidRPr="00782ADD">
        <w:rPr>
          <w:rFonts w:ascii="Tahoma" w:hAnsi="Tahoma" w:cs="Tahoma"/>
          <w:color w:val="000000" w:themeColor="text1"/>
          <w:spacing w:val="-6"/>
          <w:lang w:val="it-IT"/>
        </w:rPr>
        <w:t>mail</w:t>
      </w:r>
      <w:r w:rsidRPr="00782ADD">
        <w:rPr>
          <w:rFonts w:ascii="Tahoma" w:hAnsi="Tahoma" w:cs="Tahoma"/>
          <w:color w:val="000000" w:themeColor="text1"/>
          <w:spacing w:val="-6"/>
          <w:lang w:val="it-IT"/>
        </w:rPr>
        <w:t xml:space="preserve">: </w:t>
      </w:r>
      <w:r w:rsidRPr="00782ADD">
        <w:rPr>
          <w:rFonts w:ascii="Tahoma" w:hAnsi="Tahoma" w:cs="Tahoma"/>
          <w:color w:val="0070C0"/>
          <w:spacing w:val="-6"/>
          <w:u w:val="single"/>
          <w:lang w:val="it-IT"/>
        </w:rPr>
        <w:t>auckland.onorario@esteri.it</w:t>
      </w:r>
    </w:p>
    <w:p w14:paraId="5CE58423" w14:textId="77777777" w:rsidR="005F3421" w:rsidRPr="00782ADD"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p>
    <w:p w14:paraId="6C0B0F66" w14:textId="2766C439" w:rsidR="005F3421" w:rsidRPr="00782ADD"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r w:rsidRPr="00782ADD">
        <w:rPr>
          <w:rFonts w:ascii="Tahoma" w:hAnsi="Tahoma" w:cs="Tahoma"/>
          <w:b/>
          <w:bCs/>
          <w:color w:val="215C8A"/>
          <w:spacing w:val="-6"/>
          <w:lang w:val="it-IT"/>
        </w:rPr>
        <w:t xml:space="preserve">Consolato Onorario d’Italia a Christchurch </w:t>
      </w:r>
    </w:p>
    <w:p w14:paraId="2C8294F3" w14:textId="1667787D" w:rsidR="00B62923" w:rsidRPr="00B62923" w:rsidRDefault="00B62923" w:rsidP="005B4556">
      <w:pPr>
        <w:widowControl w:val="0"/>
        <w:autoSpaceDE w:val="0"/>
        <w:autoSpaceDN w:val="0"/>
        <w:spacing w:before="0" w:after="0" w:line="360" w:lineRule="auto"/>
        <w:contextualSpacing/>
        <w:jc w:val="left"/>
        <w:rPr>
          <w:rFonts w:ascii="Tahoma" w:hAnsi="Tahoma" w:cs="Tahoma"/>
          <w:b/>
          <w:bCs/>
          <w:color w:val="215C8A"/>
          <w:spacing w:val="-6"/>
          <w:lang w:val="it-IT"/>
        </w:rPr>
      </w:pPr>
      <w:r w:rsidRPr="00B62923">
        <w:rPr>
          <w:rFonts w:ascii="Tahoma" w:hAnsi="Tahoma" w:cs="Tahoma"/>
          <w:spacing w:val="-6"/>
          <w:lang w:val="it-IT"/>
        </w:rPr>
        <w:t>Console Onorario: Belfiore B</w:t>
      </w:r>
      <w:r>
        <w:rPr>
          <w:rFonts w:ascii="Tahoma" w:hAnsi="Tahoma" w:cs="Tahoma"/>
          <w:spacing w:val="-6"/>
          <w:lang w:val="it-IT"/>
        </w:rPr>
        <w:t>ologna</w:t>
      </w:r>
    </w:p>
    <w:p w14:paraId="7F5AB057"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170EA6">
        <w:rPr>
          <w:rFonts w:ascii="Tahoma" w:hAnsi="Tahoma" w:cs="Tahoma"/>
          <w:color w:val="000000" w:themeColor="text1"/>
          <w:spacing w:val="-6"/>
          <w:lang w:val="it-IT"/>
        </w:rPr>
        <w:t>Tel. +64 (0) 21 0568161 </w:t>
      </w:r>
    </w:p>
    <w:p w14:paraId="552BF636" w14:textId="2CBE89C9" w:rsidR="005F3421" w:rsidRDefault="005F3421" w:rsidP="005B4556">
      <w:pPr>
        <w:widowControl w:val="0"/>
        <w:autoSpaceDE w:val="0"/>
        <w:autoSpaceDN w:val="0"/>
        <w:spacing w:before="0" w:after="0" w:line="360" w:lineRule="auto"/>
        <w:contextualSpacing/>
        <w:jc w:val="left"/>
        <w:rPr>
          <w:rStyle w:val="Hyperlink"/>
          <w:rFonts w:ascii="Tahoma" w:hAnsi="Tahoma" w:cs="Tahoma"/>
          <w:spacing w:val="-6"/>
          <w:lang w:val="it-IT"/>
        </w:rPr>
      </w:pPr>
      <w:r w:rsidRPr="00170EA6">
        <w:rPr>
          <w:rFonts w:ascii="Tahoma" w:hAnsi="Tahoma" w:cs="Tahoma"/>
          <w:color w:val="000000" w:themeColor="text1"/>
          <w:spacing w:val="-6"/>
          <w:lang w:val="it-IT"/>
        </w:rPr>
        <w:t>E-</w:t>
      </w:r>
      <w:r w:rsidR="00F17510" w:rsidRPr="00170EA6">
        <w:rPr>
          <w:rFonts w:ascii="Tahoma" w:hAnsi="Tahoma" w:cs="Tahoma"/>
          <w:color w:val="000000" w:themeColor="text1"/>
          <w:spacing w:val="-6"/>
          <w:lang w:val="it-IT"/>
        </w:rPr>
        <w:t>mail</w:t>
      </w:r>
      <w:r w:rsidRPr="00170EA6">
        <w:rPr>
          <w:rFonts w:ascii="Tahoma" w:hAnsi="Tahoma" w:cs="Tahoma"/>
          <w:color w:val="000000" w:themeColor="text1"/>
          <w:spacing w:val="-6"/>
          <w:lang w:val="it-IT"/>
        </w:rPr>
        <w:t xml:space="preserve">: </w:t>
      </w:r>
      <w:hyperlink r:id="rId19" w:history="1">
        <w:r w:rsidR="00522979" w:rsidRPr="00170EA6">
          <w:rPr>
            <w:rStyle w:val="Hyperlink"/>
            <w:rFonts w:ascii="Tahoma" w:hAnsi="Tahoma" w:cs="Tahoma"/>
            <w:spacing w:val="-6"/>
            <w:lang w:val="it-IT"/>
          </w:rPr>
          <w:t>christchurch.onorario@esteri.it</w:t>
        </w:r>
      </w:hyperlink>
    </w:p>
    <w:p w14:paraId="24B8B1F2" w14:textId="77777777" w:rsidR="0012787C" w:rsidRPr="00170EA6" w:rsidRDefault="0012787C"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6293306F" w14:textId="38E71673" w:rsidR="005F3421"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r w:rsidRPr="00170EA6">
        <w:rPr>
          <w:rFonts w:ascii="Tahoma" w:hAnsi="Tahoma" w:cs="Tahoma"/>
          <w:b/>
          <w:bCs/>
          <w:color w:val="215C8A"/>
          <w:spacing w:val="-6"/>
          <w:lang w:val="it-IT"/>
        </w:rPr>
        <w:t>Camera di Commercio Italiana ad Auckland (non riconosciuta)</w:t>
      </w:r>
    </w:p>
    <w:p w14:paraId="1454FD24" w14:textId="4DB3B28F" w:rsidR="00B62923" w:rsidRPr="00782ADD" w:rsidRDefault="00B62923" w:rsidP="005B4556">
      <w:pPr>
        <w:widowControl w:val="0"/>
        <w:autoSpaceDE w:val="0"/>
        <w:autoSpaceDN w:val="0"/>
        <w:spacing w:before="0" w:after="0" w:line="360" w:lineRule="auto"/>
        <w:contextualSpacing/>
        <w:jc w:val="left"/>
        <w:rPr>
          <w:rFonts w:ascii="Tahoma" w:hAnsi="Tahoma" w:cs="Tahoma"/>
          <w:spacing w:val="-6"/>
          <w:lang w:val="en-NZ"/>
        </w:rPr>
      </w:pPr>
      <w:r w:rsidRPr="00782ADD">
        <w:rPr>
          <w:rFonts w:ascii="Tahoma" w:hAnsi="Tahoma" w:cs="Tahoma"/>
          <w:spacing w:val="-6"/>
          <w:lang w:val="en-NZ"/>
        </w:rPr>
        <w:t xml:space="preserve">Presidente: </w:t>
      </w:r>
      <w:r w:rsidR="0072365E" w:rsidRPr="00782ADD">
        <w:rPr>
          <w:rFonts w:ascii="Tahoma" w:hAnsi="Tahoma" w:cs="Tahoma"/>
          <w:spacing w:val="-6"/>
          <w:lang w:val="en-NZ"/>
        </w:rPr>
        <w:t>Admir Mullaaliu</w:t>
      </w:r>
    </w:p>
    <w:p w14:paraId="01D606C6" w14:textId="16592229" w:rsidR="0072365E" w:rsidRPr="0072365E" w:rsidRDefault="0072365E" w:rsidP="005B4556">
      <w:pPr>
        <w:widowControl w:val="0"/>
        <w:autoSpaceDE w:val="0"/>
        <w:autoSpaceDN w:val="0"/>
        <w:spacing w:before="0" w:after="0" w:line="360" w:lineRule="auto"/>
        <w:contextualSpacing/>
        <w:jc w:val="left"/>
        <w:rPr>
          <w:rFonts w:ascii="Tahoma" w:hAnsi="Tahoma" w:cs="Tahoma"/>
          <w:spacing w:val="-6"/>
          <w:lang w:val="en-NZ"/>
        </w:rPr>
      </w:pPr>
      <w:r w:rsidRPr="0072365E">
        <w:rPr>
          <w:rFonts w:ascii="Tahoma" w:hAnsi="Tahoma" w:cs="Tahoma"/>
          <w:spacing w:val="-6"/>
          <w:lang w:val="en-NZ"/>
        </w:rPr>
        <w:t>66 Wyndham Street, Auckland C</w:t>
      </w:r>
      <w:r>
        <w:rPr>
          <w:rFonts w:ascii="Tahoma" w:hAnsi="Tahoma" w:cs="Tahoma"/>
          <w:spacing w:val="-6"/>
          <w:lang w:val="en-NZ"/>
        </w:rPr>
        <w:t>entral 1010, New Zealand</w:t>
      </w:r>
    </w:p>
    <w:p w14:paraId="43B5F59B" w14:textId="77777777" w:rsidR="005F3421" w:rsidRPr="00782ADD"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782ADD">
        <w:rPr>
          <w:rFonts w:ascii="Tahoma" w:hAnsi="Tahoma" w:cs="Tahoma"/>
          <w:color w:val="000000" w:themeColor="text1"/>
          <w:spacing w:val="-6"/>
          <w:lang w:val="it-IT"/>
        </w:rPr>
        <w:t xml:space="preserve">Tel: +64 (0)9 889 8836 </w:t>
      </w:r>
    </w:p>
    <w:p w14:paraId="369C08A3" w14:textId="03F33A99" w:rsidR="005F3421"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170EA6">
        <w:rPr>
          <w:rFonts w:ascii="Tahoma" w:hAnsi="Tahoma" w:cs="Tahoma"/>
          <w:color w:val="000000" w:themeColor="text1"/>
          <w:spacing w:val="-6"/>
          <w:lang w:val="it-IT"/>
        </w:rPr>
        <w:t>E-mail</w:t>
      </w:r>
      <w:r w:rsidRPr="0012787C">
        <w:rPr>
          <w:rFonts w:ascii="Tahoma" w:hAnsi="Tahoma" w:cs="Tahoma"/>
          <w:color w:val="0070C0"/>
          <w:spacing w:val="-6"/>
          <w:lang w:val="it-IT"/>
        </w:rPr>
        <w:t xml:space="preserve">: </w:t>
      </w:r>
      <w:hyperlink r:id="rId20" w:history="1">
        <w:r w:rsidRPr="0012787C">
          <w:rPr>
            <w:rStyle w:val="Hyperlink"/>
            <w:rFonts w:ascii="Tahoma" w:hAnsi="Tahoma" w:cs="Tahoma"/>
            <w:color w:val="0070C0"/>
            <w:spacing w:val="-6"/>
            <w:lang w:val="it-IT"/>
          </w:rPr>
          <w:t>info@iccnz.com</w:t>
        </w:r>
      </w:hyperlink>
      <w:r w:rsidRPr="00170EA6">
        <w:rPr>
          <w:rFonts w:ascii="Tahoma" w:hAnsi="Tahoma" w:cs="Tahoma"/>
          <w:color w:val="000000" w:themeColor="text1"/>
          <w:spacing w:val="-6"/>
          <w:lang w:val="it-IT"/>
        </w:rPr>
        <w:t xml:space="preserve"> </w:t>
      </w:r>
    </w:p>
    <w:p w14:paraId="251BA56C" w14:textId="77777777" w:rsidR="00191CE4" w:rsidRDefault="00191CE4"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7BA22BD2" w14:textId="1A0DFE99" w:rsidR="00191CE4" w:rsidRPr="00191CE4" w:rsidRDefault="00191CE4" w:rsidP="00191CE4">
      <w:pPr>
        <w:widowControl w:val="0"/>
        <w:autoSpaceDE w:val="0"/>
        <w:autoSpaceDN w:val="0"/>
        <w:spacing w:before="0" w:after="0" w:line="360" w:lineRule="auto"/>
        <w:contextualSpacing/>
        <w:jc w:val="left"/>
        <w:rPr>
          <w:rStyle w:val="Hyperlink"/>
          <w:rFonts w:ascii="Tahoma" w:hAnsi="Tahoma" w:cs="Tahoma"/>
          <w:b/>
          <w:bCs/>
          <w:color w:val="2F5496" w:themeColor="accent1" w:themeShade="BF"/>
          <w:spacing w:val="-6"/>
          <w:u w:val="none"/>
          <w:lang w:val="it-IT"/>
        </w:rPr>
      </w:pPr>
      <w:r>
        <w:rPr>
          <w:rStyle w:val="Hyperlink"/>
          <w:rFonts w:ascii="Tahoma" w:hAnsi="Tahoma" w:cs="Tahoma"/>
          <w:b/>
          <w:bCs/>
          <w:color w:val="2F5496" w:themeColor="accent1" w:themeShade="BF"/>
          <w:spacing w:val="-6"/>
          <w:u w:val="none"/>
          <w:lang w:val="it-IT"/>
        </w:rPr>
        <w:t>D</w:t>
      </w:r>
      <w:r w:rsidRPr="00191CE4">
        <w:rPr>
          <w:rStyle w:val="Hyperlink"/>
          <w:rFonts w:ascii="Tahoma" w:hAnsi="Tahoma" w:cs="Tahoma"/>
          <w:b/>
          <w:bCs/>
          <w:color w:val="2F5496" w:themeColor="accent1" w:themeShade="BF"/>
          <w:spacing w:val="-6"/>
          <w:u w:val="none"/>
          <w:lang w:val="it-IT"/>
        </w:rPr>
        <w:t>elegazione dell’</w:t>
      </w:r>
      <w:r>
        <w:rPr>
          <w:rStyle w:val="Hyperlink"/>
          <w:rFonts w:ascii="Tahoma" w:hAnsi="Tahoma" w:cs="Tahoma"/>
          <w:b/>
          <w:bCs/>
          <w:color w:val="2F5496" w:themeColor="accent1" w:themeShade="BF"/>
          <w:spacing w:val="-6"/>
          <w:u w:val="none"/>
          <w:lang w:val="it-IT"/>
        </w:rPr>
        <w:t>U</w:t>
      </w:r>
      <w:r w:rsidRPr="00191CE4">
        <w:rPr>
          <w:rStyle w:val="Hyperlink"/>
          <w:rFonts w:ascii="Tahoma" w:hAnsi="Tahoma" w:cs="Tahoma"/>
          <w:b/>
          <w:bCs/>
          <w:color w:val="2F5496" w:themeColor="accent1" w:themeShade="BF"/>
          <w:spacing w:val="-6"/>
          <w:u w:val="none"/>
          <w:lang w:val="it-IT"/>
        </w:rPr>
        <w:t xml:space="preserve">nione </w:t>
      </w:r>
      <w:r>
        <w:rPr>
          <w:rStyle w:val="Hyperlink"/>
          <w:rFonts w:ascii="Tahoma" w:hAnsi="Tahoma" w:cs="Tahoma"/>
          <w:b/>
          <w:bCs/>
          <w:color w:val="2F5496" w:themeColor="accent1" w:themeShade="BF"/>
          <w:spacing w:val="-6"/>
          <w:u w:val="none"/>
          <w:lang w:val="it-IT"/>
        </w:rPr>
        <w:t>E</w:t>
      </w:r>
      <w:r w:rsidRPr="00191CE4">
        <w:rPr>
          <w:rStyle w:val="Hyperlink"/>
          <w:rFonts w:ascii="Tahoma" w:hAnsi="Tahoma" w:cs="Tahoma"/>
          <w:b/>
          <w:bCs/>
          <w:color w:val="2F5496" w:themeColor="accent1" w:themeShade="BF"/>
          <w:spacing w:val="-6"/>
          <w:u w:val="none"/>
          <w:lang w:val="it-IT"/>
        </w:rPr>
        <w:t xml:space="preserve">uropea in </w:t>
      </w:r>
      <w:r>
        <w:rPr>
          <w:rStyle w:val="Hyperlink"/>
          <w:rFonts w:ascii="Tahoma" w:hAnsi="Tahoma" w:cs="Tahoma"/>
          <w:b/>
          <w:bCs/>
          <w:color w:val="2F5496" w:themeColor="accent1" w:themeShade="BF"/>
          <w:spacing w:val="-6"/>
          <w:u w:val="none"/>
          <w:lang w:val="it-IT"/>
        </w:rPr>
        <w:t>N</w:t>
      </w:r>
      <w:r w:rsidRPr="00191CE4">
        <w:rPr>
          <w:rStyle w:val="Hyperlink"/>
          <w:rFonts w:ascii="Tahoma" w:hAnsi="Tahoma" w:cs="Tahoma"/>
          <w:b/>
          <w:bCs/>
          <w:color w:val="2F5496" w:themeColor="accent1" w:themeShade="BF"/>
          <w:spacing w:val="-6"/>
          <w:u w:val="none"/>
          <w:lang w:val="it-IT"/>
        </w:rPr>
        <w:t xml:space="preserve">uova </w:t>
      </w:r>
      <w:r>
        <w:rPr>
          <w:rStyle w:val="Hyperlink"/>
          <w:rFonts w:ascii="Tahoma" w:hAnsi="Tahoma" w:cs="Tahoma"/>
          <w:b/>
          <w:bCs/>
          <w:color w:val="2F5496" w:themeColor="accent1" w:themeShade="BF"/>
          <w:spacing w:val="-6"/>
          <w:u w:val="none"/>
          <w:lang w:val="it-IT"/>
        </w:rPr>
        <w:t>Z</w:t>
      </w:r>
      <w:r w:rsidRPr="00191CE4">
        <w:rPr>
          <w:rStyle w:val="Hyperlink"/>
          <w:rFonts w:ascii="Tahoma" w:hAnsi="Tahoma" w:cs="Tahoma"/>
          <w:b/>
          <w:bCs/>
          <w:color w:val="2F5496" w:themeColor="accent1" w:themeShade="BF"/>
          <w:spacing w:val="-6"/>
          <w:u w:val="none"/>
          <w:lang w:val="it-IT"/>
        </w:rPr>
        <w:t>elanda</w:t>
      </w:r>
    </w:p>
    <w:p w14:paraId="177805E3" w14:textId="77777777" w:rsidR="00191CE4" w:rsidRPr="00782ADD" w:rsidRDefault="00191CE4" w:rsidP="00191CE4">
      <w:pPr>
        <w:widowControl w:val="0"/>
        <w:autoSpaceDE w:val="0"/>
        <w:autoSpaceDN w:val="0"/>
        <w:spacing w:before="0" w:after="0" w:line="360" w:lineRule="auto"/>
        <w:contextualSpacing/>
        <w:jc w:val="left"/>
        <w:rPr>
          <w:rStyle w:val="Hyperlink"/>
          <w:rFonts w:ascii="Tahoma" w:hAnsi="Tahoma" w:cs="Tahoma"/>
          <w:color w:val="auto"/>
          <w:spacing w:val="-6"/>
          <w:u w:val="none"/>
          <w:lang w:val="en-NZ"/>
        </w:rPr>
      </w:pPr>
      <w:r w:rsidRPr="00782ADD">
        <w:rPr>
          <w:rStyle w:val="Hyperlink"/>
          <w:rFonts w:ascii="Tahoma" w:hAnsi="Tahoma" w:cs="Tahoma"/>
          <w:color w:val="auto"/>
          <w:spacing w:val="-6"/>
          <w:u w:val="none"/>
          <w:lang w:val="en-NZ"/>
        </w:rPr>
        <w:t>Ambasciatore: Lawrence Meredith</w:t>
      </w:r>
    </w:p>
    <w:p w14:paraId="72868CD6" w14:textId="77777777" w:rsidR="00191CE4" w:rsidRDefault="00191CE4" w:rsidP="00191CE4">
      <w:pPr>
        <w:widowControl w:val="0"/>
        <w:autoSpaceDE w:val="0"/>
        <w:autoSpaceDN w:val="0"/>
        <w:spacing w:before="0" w:after="0" w:line="360" w:lineRule="auto"/>
        <w:contextualSpacing/>
        <w:jc w:val="left"/>
        <w:rPr>
          <w:rFonts w:ascii="Tahoma" w:hAnsi="Tahoma" w:cs="Tahoma"/>
          <w:spacing w:val="-6"/>
          <w:lang w:val="en-NZ"/>
        </w:rPr>
      </w:pPr>
      <w:r w:rsidRPr="00782ADD">
        <w:rPr>
          <w:rFonts w:ascii="Tahoma" w:hAnsi="Tahoma" w:cs="Tahoma"/>
          <w:spacing w:val="-6"/>
          <w:lang w:val="en-NZ"/>
        </w:rPr>
        <w:t>Level 14, Solnet Hou</w:t>
      </w:r>
      <w:r>
        <w:rPr>
          <w:rFonts w:ascii="Tahoma" w:hAnsi="Tahoma" w:cs="Tahoma"/>
          <w:spacing w:val="-6"/>
          <w:lang w:val="en-NZ"/>
        </w:rPr>
        <w:t>se, 70 The Terrace, Wellington 6011, New Zealand</w:t>
      </w:r>
    </w:p>
    <w:p w14:paraId="2ED5D080" w14:textId="77777777" w:rsidR="00191CE4" w:rsidRPr="00F65202" w:rsidRDefault="00191CE4" w:rsidP="00191CE4">
      <w:pPr>
        <w:widowControl w:val="0"/>
        <w:autoSpaceDE w:val="0"/>
        <w:autoSpaceDN w:val="0"/>
        <w:spacing w:before="0" w:after="0" w:line="360" w:lineRule="auto"/>
        <w:contextualSpacing/>
        <w:jc w:val="left"/>
        <w:rPr>
          <w:rFonts w:ascii="Tahoma" w:hAnsi="Tahoma" w:cs="Tahoma"/>
          <w:spacing w:val="-6"/>
          <w:lang w:val="it-IT"/>
        </w:rPr>
      </w:pPr>
      <w:r w:rsidRPr="00F65202">
        <w:rPr>
          <w:rFonts w:ascii="Tahoma" w:hAnsi="Tahoma" w:cs="Tahoma"/>
          <w:spacing w:val="-6"/>
          <w:lang w:val="it-IT"/>
        </w:rPr>
        <w:t>Tel: +64 4 472 9145</w:t>
      </w:r>
    </w:p>
    <w:p w14:paraId="4A856C8D" w14:textId="34125C2A" w:rsidR="00191CE4" w:rsidRDefault="00191CE4" w:rsidP="00191CE4">
      <w:pPr>
        <w:widowControl w:val="0"/>
        <w:autoSpaceDE w:val="0"/>
        <w:autoSpaceDN w:val="0"/>
        <w:spacing w:before="0" w:after="0" w:line="360" w:lineRule="auto"/>
        <w:contextualSpacing/>
        <w:jc w:val="left"/>
        <w:rPr>
          <w:rStyle w:val="Hyperlink"/>
          <w:rFonts w:ascii="Tahoma" w:hAnsi="Tahoma" w:cs="Tahoma"/>
          <w:spacing w:val="-6"/>
          <w:lang w:val="it-IT"/>
        </w:rPr>
      </w:pPr>
      <w:r w:rsidRPr="00782ADD">
        <w:rPr>
          <w:rFonts w:ascii="Tahoma" w:hAnsi="Tahoma" w:cs="Tahoma"/>
          <w:spacing w:val="-6"/>
          <w:lang w:val="it-IT"/>
        </w:rPr>
        <w:t xml:space="preserve">E-mail: </w:t>
      </w:r>
      <w:hyperlink r:id="rId21" w:history="1">
        <w:r w:rsidRPr="00C52C79">
          <w:rPr>
            <w:rStyle w:val="Hyperlink"/>
            <w:rFonts w:ascii="Tahoma" w:hAnsi="Tahoma" w:cs="Tahoma"/>
            <w:spacing w:val="-6"/>
            <w:lang w:val="it-IT"/>
          </w:rPr>
          <w:t>delegation-new-zealand@eeas.europa.eu</w:t>
        </w:r>
      </w:hyperlink>
    </w:p>
    <w:p w14:paraId="3F667F30" w14:textId="1A8F96A1" w:rsidR="00284C6D" w:rsidRDefault="00284C6D"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119261DA" w14:textId="37C0A6FC" w:rsidR="009C1458" w:rsidRDefault="009C1458"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74D2F3A0" w14:textId="77777777" w:rsidR="009C1458" w:rsidRDefault="009C1458"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6E14BD71" w14:textId="77777777" w:rsidR="00191CE4" w:rsidRDefault="00191CE4"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5F022DD9" w14:textId="77777777" w:rsidR="00191CE4" w:rsidRPr="00170EA6" w:rsidRDefault="00191CE4"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12787C">
        <w:rPr>
          <w:rFonts w:ascii="Tahoma" w:hAnsi="Tahoma" w:cs="Tahoma"/>
          <w:b/>
          <w:bCs/>
          <w:color w:val="215C8A"/>
          <w:spacing w:val="-6"/>
          <w:lang w:val="it-IT"/>
        </w:rPr>
        <w:lastRenderedPageBreak/>
        <w:t>Istituto Italiano di cultura Sydney</w:t>
      </w:r>
      <w:r>
        <w:rPr>
          <w:rFonts w:ascii="Tahoma" w:hAnsi="Tahoma" w:cs="Tahoma"/>
          <w:b/>
          <w:bCs/>
          <w:color w:val="215C8A"/>
          <w:spacing w:val="-6"/>
          <w:lang w:val="it-IT"/>
        </w:rPr>
        <w:t xml:space="preserve"> (competente anche per la Nuova Zelanda)</w:t>
      </w:r>
    </w:p>
    <w:p w14:paraId="71A5BDF6" w14:textId="77777777" w:rsidR="00191CE4" w:rsidRPr="00782ADD" w:rsidRDefault="00191CE4" w:rsidP="00191CE4">
      <w:pPr>
        <w:widowControl w:val="0"/>
        <w:autoSpaceDE w:val="0"/>
        <w:autoSpaceDN w:val="0"/>
        <w:spacing w:before="0" w:after="0" w:line="360" w:lineRule="auto"/>
        <w:contextualSpacing/>
        <w:jc w:val="left"/>
        <w:rPr>
          <w:rFonts w:ascii="Tahoma" w:hAnsi="Tahoma" w:cs="Tahoma"/>
          <w:spacing w:val="-6"/>
          <w:lang w:val="it-IT"/>
        </w:rPr>
      </w:pPr>
      <w:r w:rsidRPr="00782ADD">
        <w:rPr>
          <w:rFonts w:ascii="Tahoma" w:hAnsi="Tahoma" w:cs="Tahoma"/>
          <w:spacing w:val="-6"/>
          <w:lang w:val="it-IT"/>
        </w:rPr>
        <w:t>Direttore: Marco Gioacchini</w:t>
      </w:r>
    </w:p>
    <w:p w14:paraId="7E75884A" w14:textId="77777777" w:rsidR="00191CE4" w:rsidRPr="00782ADD" w:rsidRDefault="00191CE4"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782ADD">
        <w:rPr>
          <w:rFonts w:ascii="Tahoma" w:hAnsi="Tahoma" w:cs="Tahoma"/>
          <w:color w:val="000000" w:themeColor="text1"/>
          <w:spacing w:val="-6"/>
          <w:lang w:val="it-IT"/>
        </w:rPr>
        <w:t>Level 4, 125 York Street</w:t>
      </w:r>
    </w:p>
    <w:p w14:paraId="7DFA7DE2" w14:textId="77777777" w:rsidR="00191CE4" w:rsidRPr="00782ADD" w:rsidRDefault="00191CE4"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782ADD">
        <w:rPr>
          <w:rFonts w:ascii="Tahoma" w:hAnsi="Tahoma" w:cs="Tahoma"/>
          <w:color w:val="000000" w:themeColor="text1"/>
          <w:spacing w:val="-6"/>
          <w:lang w:val="it-IT"/>
        </w:rPr>
        <w:t>Sydney NSW 2000 Australia</w:t>
      </w:r>
      <w:r w:rsidRPr="00782ADD">
        <w:rPr>
          <w:rFonts w:ascii="Tahoma" w:hAnsi="Tahoma" w:cs="Tahoma"/>
          <w:color w:val="000000" w:themeColor="text1"/>
          <w:spacing w:val="-6"/>
          <w:lang w:val="it-IT"/>
        </w:rPr>
        <w:tab/>
      </w:r>
    </w:p>
    <w:p w14:paraId="0DBC42D0" w14:textId="77777777" w:rsidR="00191CE4" w:rsidRPr="0012787C" w:rsidRDefault="00191CE4"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12787C">
        <w:rPr>
          <w:rFonts w:ascii="Tahoma" w:hAnsi="Tahoma" w:cs="Tahoma"/>
          <w:color w:val="000000" w:themeColor="text1"/>
          <w:spacing w:val="-6"/>
          <w:lang w:val="it-IT"/>
        </w:rPr>
        <w:t>PO Box Q1924, QVB NSW 1230</w:t>
      </w:r>
    </w:p>
    <w:p w14:paraId="0A5BD4D9" w14:textId="77777777" w:rsidR="00191CE4" w:rsidRPr="006E0D2A" w:rsidRDefault="00191CE4"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6E0D2A">
        <w:rPr>
          <w:rFonts w:ascii="Tahoma" w:hAnsi="Tahoma" w:cs="Tahoma"/>
          <w:color w:val="000000" w:themeColor="text1"/>
          <w:spacing w:val="-6"/>
          <w:lang w:val="it-IT"/>
        </w:rPr>
        <w:t>Tel: </w:t>
      </w:r>
      <w:hyperlink r:id="rId22" w:history="1">
        <w:r w:rsidRPr="006E0D2A">
          <w:rPr>
            <w:rStyle w:val="Hyperlink"/>
            <w:rFonts w:ascii="Tahoma" w:hAnsi="Tahoma" w:cs="Tahoma"/>
            <w:color w:val="000000" w:themeColor="text1"/>
            <w:spacing w:val="-6"/>
            <w:lang w:val="it-IT"/>
          </w:rPr>
          <w:t>+61 2 9261 1780</w:t>
        </w:r>
      </w:hyperlink>
    </w:p>
    <w:p w14:paraId="00012D8D" w14:textId="77777777" w:rsidR="00191CE4" w:rsidRPr="006E0D2A" w:rsidRDefault="00191CE4" w:rsidP="00191CE4">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6E0D2A">
        <w:rPr>
          <w:rFonts w:ascii="Tahoma" w:hAnsi="Tahoma" w:cs="Tahoma"/>
          <w:color w:val="000000" w:themeColor="text1"/>
          <w:spacing w:val="-6"/>
          <w:lang w:val="it-IT"/>
        </w:rPr>
        <w:t>E-mail</w:t>
      </w:r>
      <w:r w:rsidRPr="006E0D2A">
        <w:rPr>
          <w:rFonts w:ascii="Tahoma" w:hAnsi="Tahoma" w:cs="Tahoma"/>
          <w:color w:val="0070C0"/>
          <w:spacing w:val="-6"/>
          <w:lang w:val="it-IT"/>
        </w:rPr>
        <w:t>: </w:t>
      </w:r>
      <w:hyperlink r:id="rId23" w:history="1">
        <w:r w:rsidRPr="006E0D2A">
          <w:rPr>
            <w:rStyle w:val="Hyperlink"/>
            <w:rFonts w:ascii="Tahoma" w:hAnsi="Tahoma" w:cs="Tahoma"/>
            <w:color w:val="0070C0"/>
            <w:spacing w:val="-6"/>
            <w:lang w:val="it-IT"/>
          </w:rPr>
          <w:t>iicsydney@esteri.it</w:t>
        </w:r>
      </w:hyperlink>
    </w:p>
    <w:p w14:paraId="7A53923E" w14:textId="77777777" w:rsidR="005F3421" w:rsidRPr="00170EA6"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p>
    <w:p w14:paraId="076921F9" w14:textId="561312D7" w:rsidR="005F3421" w:rsidRDefault="005F3421" w:rsidP="005B4556">
      <w:pPr>
        <w:widowControl w:val="0"/>
        <w:autoSpaceDE w:val="0"/>
        <w:autoSpaceDN w:val="0"/>
        <w:spacing w:before="0" w:after="0" w:line="360" w:lineRule="auto"/>
        <w:contextualSpacing/>
        <w:jc w:val="left"/>
        <w:rPr>
          <w:rFonts w:ascii="Tahoma" w:hAnsi="Tahoma" w:cs="Tahoma"/>
          <w:b/>
          <w:bCs/>
          <w:color w:val="215C8A"/>
          <w:spacing w:val="-6"/>
          <w:lang w:val="it-IT"/>
        </w:rPr>
      </w:pPr>
      <w:r w:rsidRPr="0072365E">
        <w:rPr>
          <w:rFonts w:ascii="Tahoma" w:hAnsi="Tahoma" w:cs="Tahoma"/>
          <w:b/>
          <w:bCs/>
          <w:color w:val="215C8A"/>
          <w:spacing w:val="-6"/>
          <w:lang w:val="it-IT"/>
        </w:rPr>
        <w:t xml:space="preserve">Ufficio ICE Sydney </w:t>
      </w:r>
      <w:r w:rsidR="0072365E" w:rsidRPr="0072365E">
        <w:rPr>
          <w:rFonts w:ascii="Tahoma" w:hAnsi="Tahoma" w:cs="Tahoma"/>
          <w:b/>
          <w:bCs/>
          <w:color w:val="215C8A"/>
          <w:spacing w:val="-6"/>
          <w:lang w:val="it-IT"/>
        </w:rPr>
        <w:t>(competente a</w:t>
      </w:r>
      <w:r w:rsidR="0072365E">
        <w:rPr>
          <w:rFonts w:ascii="Tahoma" w:hAnsi="Tahoma" w:cs="Tahoma"/>
          <w:b/>
          <w:bCs/>
          <w:color w:val="215C8A"/>
          <w:spacing w:val="-6"/>
          <w:lang w:val="it-IT"/>
        </w:rPr>
        <w:t xml:space="preserve">nche per la Nuova Zelanda) </w:t>
      </w:r>
    </w:p>
    <w:p w14:paraId="34C6A443" w14:textId="49EDFCB3" w:rsidR="0072365E" w:rsidRPr="00782ADD" w:rsidRDefault="0072365E" w:rsidP="005B4556">
      <w:pPr>
        <w:widowControl w:val="0"/>
        <w:autoSpaceDE w:val="0"/>
        <w:autoSpaceDN w:val="0"/>
        <w:spacing w:before="0" w:after="0" w:line="360" w:lineRule="auto"/>
        <w:contextualSpacing/>
        <w:jc w:val="left"/>
        <w:rPr>
          <w:rFonts w:ascii="Tahoma" w:hAnsi="Tahoma" w:cs="Tahoma"/>
          <w:spacing w:val="-6"/>
          <w:lang w:val="it-IT"/>
        </w:rPr>
      </w:pPr>
      <w:r w:rsidRPr="00782ADD">
        <w:rPr>
          <w:rFonts w:ascii="Tahoma" w:hAnsi="Tahoma" w:cs="Tahoma"/>
          <w:spacing w:val="-6"/>
          <w:lang w:val="it-IT"/>
        </w:rPr>
        <w:t>Direttore: Simona Bernardini</w:t>
      </w:r>
    </w:p>
    <w:p w14:paraId="6749037A" w14:textId="15A3513F" w:rsidR="005F3421" w:rsidRPr="00782ADD"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782ADD">
        <w:rPr>
          <w:rFonts w:ascii="Tahoma" w:hAnsi="Tahoma" w:cs="Tahoma"/>
          <w:color w:val="000000" w:themeColor="text1"/>
          <w:spacing w:val="-6"/>
          <w:lang w:val="it-IT"/>
        </w:rPr>
        <w:t>LEVEL 19, 44 MARKET STREET</w:t>
      </w:r>
      <w:r w:rsidR="00522979" w:rsidRPr="00782ADD">
        <w:rPr>
          <w:rFonts w:ascii="Tahoma" w:hAnsi="Tahoma" w:cs="Tahoma"/>
          <w:color w:val="000000" w:themeColor="text1"/>
          <w:spacing w:val="-6"/>
          <w:lang w:val="it-IT"/>
        </w:rPr>
        <w:t xml:space="preserve"> </w:t>
      </w:r>
      <w:r w:rsidRPr="00782ADD">
        <w:rPr>
          <w:rFonts w:ascii="Tahoma" w:hAnsi="Tahoma" w:cs="Tahoma"/>
          <w:color w:val="000000" w:themeColor="text1"/>
          <w:spacing w:val="-6"/>
          <w:lang w:val="it-IT"/>
        </w:rPr>
        <w:t>2000, SYDNEY</w:t>
      </w:r>
    </w:p>
    <w:p w14:paraId="77175E19" w14:textId="77777777" w:rsidR="005F3421" w:rsidRPr="00782ADD" w:rsidRDefault="005F3421" w:rsidP="005B4556">
      <w:pPr>
        <w:widowControl w:val="0"/>
        <w:autoSpaceDE w:val="0"/>
        <w:autoSpaceDN w:val="0"/>
        <w:spacing w:before="0" w:after="0" w:line="360" w:lineRule="auto"/>
        <w:contextualSpacing/>
        <w:jc w:val="left"/>
        <w:rPr>
          <w:rFonts w:ascii="Tahoma" w:hAnsi="Tahoma" w:cs="Tahoma"/>
          <w:color w:val="000000" w:themeColor="text1"/>
          <w:spacing w:val="-6"/>
          <w:lang w:val="it-IT"/>
        </w:rPr>
      </w:pPr>
      <w:r w:rsidRPr="00782ADD">
        <w:rPr>
          <w:rFonts w:ascii="Tahoma" w:hAnsi="Tahoma" w:cs="Tahoma"/>
          <w:color w:val="000000" w:themeColor="text1"/>
          <w:spacing w:val="-6"/>
          <w:lang w:val="it-IT"/>
        </w:rPr>
        <w:t>Tel: +61/292999954</w:t>
      </w:r>
    </w:p>
    <w:p w14:paraId="33E2CF06" w14:textId="159C4D14" w:rsidR="00CA4186" w:rsidRPr="00782ADD" w:rsidRDefault="005F3421" w:rsidP="005B4556">
      <w:pPr>
        <w:widowControl w:val="0"/>
        <w:autoSpaceDE w:val="0"/>
        <w:autoSpaceDN w:val="0"/>
        <w:spacing w:before="0" w:after="0" w:line="360" w:lineRule="auto"/>
        <w:contextualSpacing/>
        <w:jc w:val="left"/>
        <w:rPr>
          <w:rStyle w:val="Hyperlink"/>
          <w:rFonts w:ascii="Tahoma" w:hAnsi="Tahoma" w:cs="Tahoma"/>
          <w:color w:val="0070C0"/>
          <w:spacing w:val="-6"/>
          <w:lang w:val="it-IT"/>
        </w:rPr>
      </w:pPr>
      <w:r w:rsidRPr="00782ADD">
        <w:rPr>
          <w:rFonts w:ascii="Tahoma" w:hAnsi="Tahoma" w:cs="Tahoma"/>
          <w:color w:val="000000" w:themeColor="text1"/>
          <w:spacing w:val="-6"/>
          <w:lang w:val="it-IT"/>
        </w:rPr>
        <w:t>E-mail</w:t>
      </w:r>
      <w:r w:rsidRPr="00782ADD">
        <w:rPr>
          <w:rFonts w:ascii="Tahoma" w:hAnsi="Tahoma" w:cs="Tahoma"/>
          <w:color w:val="0070C0"/>
          <w:spacing w:val="-6"/>
          <w:lang w:val="it-IT"/>
        </w:rPr>
        <w:t>: </w:t>
      </w:r>
      <w:hyperlink r:id="rId24" w:history="1">
        <w:r w:rsidRPr="00782ADD">
          <w:rPr>
            <w:rStyle w:val="Hyperlink"/>
            <w:rFonts w:ascii="Tahoma" w:hAnsi="Tahoma" w:cs="Tahoma"/>
            <w:color w:val="0070C0"/>
            <w:spacing w:val="-6"/>
            <w:lang w:val="it-IT"/>
          </w:rPr>
          <w:t>sydney@ice.it</w:t>
        </w:r>
      </w:hyperlink>
    </w:p>
    <w:p w14:paraId="2845BE8D" w14:textId="3F22A935" w:rsidR="0072365E" w:rsidRPr="00782ADD" w:rsidRDefault="0072365E" w:rsidP="005B4556">
      <w:pPr>
        <w:widowControl w:val="0"/>
        <w:autoSpaceDE w:val="0"/>
        <w:autoSpaceDN w:val="0"/>
        <w:spacing w:before="0" w:after="0" w:line="360" w:lineRule="auto"/>
        <w:contextualSpacing/>
        <w:jc w:val="left"/>
        <w:rPr>
          <w:rStyle w:val="Hyperlink"/>
          <w:rFonts w:ascii="Tahoma" w:hAnsi="Tahoma" w:cs="Tahoma"/>
          <w:color w:val="0070C0"/>
          <w:spacing w:val="-6"/>
          <w:lang w:val="it-IT"/>
        </w:rPr>
      </w:pPr>
    </w:p>
    <w:p w14:paraId="6D510559" w14:textId="6250F814" w:rsidR="00782ADD" w:rsidRDefault="00782ADD" w:rsidP="005B4556">
      <w:pPr>
        <w:widowControl w:val="0"/>
        <w:autoSpaceDE w:val="0"/>
        <w:autoSpaceDN w:val="0"/>
        <w:spacing w:before="0" w:after="0" w:line="360" w:lineRule="auto"/>
        <w:contextualSpacing/>
        <w:jc w:val="left"/>
        <w:rPr>
          <w:rFonts w:ascii="Tahoma" w:hAnsi="Tahoma" w:cs="Tahoma"/>
          <w:spacing w:val="-6"/>
          <w:lang w:val="it-IT"/>
        </w:rPr>
      </w:pPr>
    </w:p>
    <w:p w14:paraId="4DAB6820" w14:textId="77777777" w:rsidR="00782ADD" w:rsidRPr="00782ADD" w:rsidRDefault="00782ADD" w:rsidP="005B4556">
      <w:pPr>
        <w:widowControl w:val="0"/>
        <w:autoSpaceDE w:val="0"/>
        <w:autoSpaceDN w:val="0"/>
        <w:spacing w:before="0" w:after="0" w:line="360" w:lineRule="auto"/>
        <w:contextualSpacing/>
        <w:jc w:val="left"/>
        <w:rPr>
          <w:rFonts w:ascii="Tahoma" w:hAnsi="Tahoma" w:cs="Tahoma"/>
          <w:spacing w:val="-6"/>
          <w:lang w:val="it-IT"/>
        </w:rPr>
      </w:pPr>
    </w:p>
    <w:p w14:paraId="3AD005EB"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1A6F1F48"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5F268CF0"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5DF62318"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00225675"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0E4F9BC9"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7D25A728"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6A9003C3"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7780AF09"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776B8841"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6F7BFD5C" w14:textId="77777777" w:rsidR="000422CD" w:rsidRPr="00782ADD" w:rsidRDefault="000422CD"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76D1F29B" w14:textId="77777777" w:rsidR="00301F5E" w:rsidRDefault="00301F5E"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2FF38C83" w14:textId="77777777" w:rsidR="00301F5E" w:rsidRDefault="00301F5E"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2DB30BD0" w14:textId="713E144E" w:rsidR="00301F5E" w:rsidRDefault="00301F5E"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759DF728" w14:textId="77777777" w:rsidR="00E30FA5" w:rsidRDefault="00E30FA5"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43FBA999" w14:textId="77777777" w:rsidR="00301F5E" w:rsidRDefault="00301F5E"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07B8974B" w14:textId="4FBA2B3D" w:rsidR="00301F5E" w:rsidRDefault="00301F5E"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3755F494" w14:textId="77777777" w:rsidR="009C1458" w:rsidRDefault="009C1458" w:rsidP="005B4556">
      <w:pPr>
        <w:widowControl w:val="0"/>
        <w:autoSpaceDE w:val="0"/>
        <w:autoSpaceDN w:val="0"/>
        <w:spacing w:before="0" w:after="0" w:line="360" w:lineRule="auto"/>
        <w:contextualSpacing/>
        <w:jc w:val="left"/>
        <w:rPr>
          <w:rFonts w:ascii="Tahoma" w:hAnsi="Tahoma" w:cs="Tahoma"/>
          <w:color w:val="0070C0"/>
          <w:spacing w:val="-6"/>
          <w:lang w:val="it-IT"/>
        </w:rPr>
      </w:pPr>
    </w:p>
    <w:p w14:paraId="7CC4F8C5" w14:textId="5BD93869" w:rsidR="0012787C" w:rsidRPr="00782ADD" w:rsidRDefault="005F3421" w:rsidP="005B4556">
      <w:pPr>
        <w:widowControl w:val="0"/>
        <w:autoSpaceDE w:val="0"/>
        <w:autoSpaceDN w:val="0"/>
        <w:spacing w:before="0" w:after="0" w:line="360" w:lineRule="auto"/>
        <w:contextualSpacing/>
        <w:jc w:val="left"/>
        <w:rPr>
          <w:rFonts w:ascii="Tahoma" w:hAnsi="Tahoma" w:cs="Tahoma"/>
          <w:color w:val="0070C0"/>
          <w:spacing w:val="-6"/>
          <w:lang w:val="it-IT"/>
        </w:rPr>
      </w:pPr>
      <w:r w:rsidRPr="0012787C">
        <w:rPr>
          <w:rFonts w:ascii="Tahoma" w:hAnsi="Tahoma" w:cs="Tahoma"/>
          <w:b/>
          <w:bCs/>
          <w:noProof/>
          <w:color w:val="0070C0"/>
          <w:spacing w:val="-6"/>
        </w:rPr>
        <w:drawing>
          <wp:anchor distT="0" distB="0" distL="114300" distR="114300" simplePos="0" relativeHeight="251666432" behindDoc="1" locked="0" layoutInCell="1" allowOverlap="1" wp14:anchorId="75EEA2F9" wp14:editId="5EEF250A">
            <wp:simplePos x="0" y="0"/>
            <wp:positionH relativeFrom="page">
              <wp:posOffset>-12700</wp:posOffset>
            </wp:positionH>
            <wp:positionV relativeFrom="page">
              <wp:posOffset>-12700</wp:posOffset>
            </wp:positionV>
            <wp:extent cx="38100" cy="38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6E5C305F" w14:textId="0A409578" w:rsidR="00832183" w:rsidRPr="004E6B03" w:rsidRDefault="00832183" w:rsidP="00817E8E">
      <w:pPr>
        <w:pStyle w:val="ListParagraph"/>
        <w:widowControl w:val="0"/>
        <w:numPr>
          <w:ilvl w:val="0"/>
          <w:numId w:val="2"/>
        </w:numPr>
        <w:autoSpaceDE w:val="0"/>
        <w:autoSpaceDN w:val="0"/>
        <w:spacing w:before="0" w:after="0" w:line="360" w:lineRule="auto"/>
        <w:rPr>
          <w:rFonts w:ascii="Tahoma" w:hAnsi="Tahoma" w:cs="Tahoma"/>
          <w:b/>
          <w:bCs/>
          <w:color w:val="215C8A"/>
          <w:spacing w:val="-13"/>
          <w:sz w:val="24"/>
          <w:szCs w:val="24"/>
          <w:lang w:val="it-IT"/>
        </w:rPr>
      </w:pPr>
      <w:r w:rsidRPr="004E6B03">
        <w:rPr>
          <w:rFonts w:ascii="Tahoma" w:hAnsi="Tahoma" w:cs="Tahoma"/>
          <w:b/>
          <w:bCs/>
          <w:color w:val="215C8A"/>
          <w:spacing w:val="-13"/>
          <w:sz w:val="24"/>
          <w:szCs w:val="24"/>
          <w:lang w:val="it-IT"/>
        </w:rPr>
        <w:lastRenderedPageBreak/>
        <w:t>INFORMAZIONI GENERAL</w:t>
      </w:r>
      <w:r w:rsidR="00857AB9" w:rsidRPr="004E6B03">
        <w:rPr>
          <w:rFonts w:ascii="Tahoma" w:hAnsi="Tahoma" w:cs="Tahoma"/>
          <w:b/>
          <w:bCs/>
          <w:color w:val="215C8A"/>
          <w:spacing w:val="-13"/>
          <w:sz w:val="24"/>
          <w:szCs w:val="24"/>
          <w:lang w:val="it-IT"/>
        </w:rPr>
        <w:t>I</w:t>
      </w:r>
    </w:p>
    <w:p w14:paraId="6AB2DAA2" w14:textId="3BF34B49" w:rsidR="0022588B" w:rsidRPr="004E6B03" w:rsidRDefault="0022588B" w:rsidP="00817E8E">
      <w:pPr>
        <w:widowControl w:val="0"/>
        <w:autoSpaceDE w:val="0"/>
        <w:autoSpaceDN w:val="0"/>
        <w:spacing w:before="0" w:after="0" w:line="360" w:lineRule="auto"/>
        <w:rPr>
          <w:rFonts w:ascii="Tahoma" w:hAnsi="Tahoma" w:cs="Tahoma"/>
          <w:b/>
          <w:bCs/>
          <w:color w:val="215C8A"/>
          <w:spacing w:val="-13"/>
          <w:sz w:val="24"/>
          <w:szCs w:val="24"/>
          <w:lang w:val="it-IT"/>
        </w:rPr>
      </w:pPr>
    </w:p>
    <w:p w14:paraId="7F9C15F1" w14:textId="1051ECC9" w:rsidR="0022588B" w:rsidRPr="004E6B03" w:rsidRDefault="0022588B" w:rsidP="00817E8E">
      <w:pPr>
        <w:pStyle w:val="ListParagraph"/>
        <w:widowControl w:val="0"/>
        <w:numPr>
          <w:ilvl w:val="1"/>
          <w:numId w:val="2"/>
        </w:numPr>
        <w:autoSpaceDE w:val="0"/>
        <w:autoSpaceDN w:val="0"/>
        <w:spacing w:before="0" w:after="0" w:line="360" w:lineRule="auto"/>
        <w:rPr>
          <w:rFonts w:ascii="Tahoma" w:hAnsi="Tahoma" w:cs="Tahoma"/>
          <w:b/>
          <w:bCs/>
          <w:color w:val="215C8A"/>
          <w:spacing w:val="-13"/>
          <w:sz w:val="24"/>
          <w:szCs w:val="24"/>
          <w:lang w:val="it-IT"/>
        </w:rPr>
      </w:pPr>
      <w:r w:rsidRPr="004E6B03">
        <w:rPr>
          <w:rFonts w:ascii="Tahoma" w:hAnsi="Tahoma" w:cs="Tahoma"/>
          <w:b/>
          <w:bCs/>
          <w:color w:val="215C8A"/>
          <w:spacing w:val="-13"/>
          <w:sz w:val="24"/>
          <w:szCs w:val="24"/>
          <w:lang w:val="it-IT"/>
        </w:rPr>
        <w:t>DATI GENERALI</w:t>
      </w:r>
    </w:p>
    <w:p w14:paraId="20D73432" w14:textId="057286A5" w:rsidR="0022588B" w:rsidRPr="004E6B03" w:rsidRDefault="0022588B"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La Nuova Zelanda è una monarchia costituzionale</w:t>
      </w:r>
      <w:r w:rsidR="0072365E">
        <w:rPr>
          <w:rFonts w:ascii="Tahoma" w:hAnsi="Tahoma" w:cs="Tahoma"/>
          <w:color w:val="19191A"/>
          <w:lang w:val="it-IT"/>
        </w:rPr>
        <w:t>,</w:t>
      </w:r>
      <w:r w:rsidRPr="004E6B03">
        <w:rPr>
          <w:rFonts w:ascii="Tahoma" w:hAnsi="Tahoma" w:cs="Tahoma"/>
          <w:color w:val="19191A"/>
          <w:lang w:val="it-IT"/>
        </w:rPr>
        <w:t xml:space="preserve"> con un sistema di governo parlamentare</w:t>
      </w:r>
      <w:r w:rsidR="0072365E">
        <w:rPr>
          <w:rFonts w:ascii="Tahoma" w:hAnsi="Tahoma" w:cs="Tahoma"/>
          <w:color w:val="19191A"/>
          <w:lang w:val="it-IT"/>
        </w:rPr>
        <w:t>,</w:t>
      </w:r>
      <w:r w:rsidRPr="004E6B03">
        <w:rPr>
          <w:rFonts w:ascii="Tahoma" w:hAnsi="Tahoma" w:cs="Tahoma"/>
          <w:color w:val="19191A"/>
          <w:lang w:val="it-IT"/>
        </w:rPr>
        <w:t xml:space="preserve"> parte del Commonwealth Realm.</w:t>
      </w:r>
      <w:r w:rsidR="0072365E">
        <w:rPr>
          <w:rFonts w:ascii="Tahoma" w:hAnsi="Tahoma" w:cs="Tahoma"/>
          <w:color w:val="19191A"/>
          <w:lang w:val="it-IT"/>
        </w:rPr>
        <w:t xml:space="preserve"> </w:t>
      </w:r>
      <w:r w:rsidRPr="004E6B03">
        <w:rPr>
          <w:rFonts w:ascii="Tahoma" w:hAnsi="Tahoma" w:cs="Tahoma"/>
          <w:color w:val="19191A"/>
          <w:lang w:val="it-IT"/>
        </w:rPr>
        <w:t xml:space="preserve">Capo </w:t>
      </w:r>
      <w:r w:rsidR="0072365E">
        <w:rPr>
          <w:rFonts w:ascii="Tahoma" w:hAnsi="Tahoma" w:cs="Tahoma"/>
          <w:color w:val="19191A"/>
          <w:lang w:val="it-IT"/>
        </w:rPr>
        <w:t>dello</w:t>
      </w:r>
      <w:r w:rsidRPr="004E6B03">
        <w:rPr>
          <w:rFonts w:ascii="Tahoma" w:hAnsi="Tahoma" w:cs="Tahoma"/>
          <w:color w:val="19191A"/>
          <w:lang w:val="it-IT"/>
        </w:rPr>
        <w:t xml:space="preserve"> Stato è Carlo III, Re anche della Nuova Zelanda,</w:t>
      </w:r>
      <w:r w:rsidR="007A3C52">
        <w:rPr>
          <w:rFonts w:ascii="Tahoma" w:hAnsi="Tahoma" w:cs="Tahoma"/>
          <w:color w:val="19191A"/>
          <w:lang w:val="it-IT"/>
        </w:rPr>
        <w:t xml:space="preserve"> </w:t>
      </w:r>
      <w:r w:rsidRPr="004E6B03">
        <w:rPr>
          <w:rFonts w:ascii="Tahoma" w:hAnsi="Tahoma" w:cs="Tahoma"/>
          <w:color w:val="19191A"/>
          <w:lang w:val="it-IT"/>
        </w:rPr>
        <w:t xml:space="preserve">rappresentato a Wellington </w:t>
      </w:r>
      <w:r w:rsidR="0072365E">
        <w:rPr>
          <w:rFonts w:ascii="Tahoma" w:hAnsi="Tahoma" w:cs="Tahoma"/>
          <w:color w:val="19191A"/>
          <w:lang w:val="it-IT"/>
        </w:rPr>
        <w:t>da</w:t>
      </w:r>
      <w:r w:rsidRPr="004E6B03">
        <w:rPr>
          <w:rFonts w:ascii="Tahoma" w:hAnsi="Tahoma" w:cs="Tahoma"/>
          <w:color w:val="19191A"/>
          <w:lang w:val="it-IT"/>
        </w:rPr>
        <w:t xml:space="preserve"> un Governatore Generale, attualmente </w:t>
      </w:r>
      <w:r w:rsidR="0072365E">
        <w:rPr>
          <w:rFonts w:ascii="Tahoma" w:hAnsi="Tahoma" w:cs="Tahoma"/>
          <w:color w:val="19191A"/>
          <w:lang w:val="it-IT"/>
        </w:rPr>
        <w:t xml:space="preserve">the </w:t>
      </w:r>
      <w:r w:rsidRPr="004E6B03">
        <w:rPr>
          <w:rFonts w:ascii="Tahoma" w:hAnsi="Tahoma" w:cs="Tahoma"/>
          <w:color w:val="19191A"/>
          <w:lang w:val="it-IT"/>
        </w:rPr>
        <w:t>Rt. Hon. Dame Cindy Kiro</w:t>
      </w:r>
      <w:r w:rsidR="004D01DB">
        <w:rPr>
          <w:rFonts w:ascii="Tahoma" w:hAnsi="Tahoma" w:cs="Tahoma"/>
          <w:color w:val="19191A"/>
          <w:lang w:val="it-IT"/>
        </w:rPr>
        <w:t>,</w:t>
      </w:r>
      <w:r w:rsidRPr="004E6B03">
        <w:rPr>
          <w:rFonts w:ascii="Tahoma" w:hAnsi="Tahoma" w:cs="Tahoma"/>
          <w:color w:val="19191A"/>
          <w:lang w:val="it-IT"/>
        </w:rPr>
        <w:t xml:space="preserve"> in carica dal 21 settembre 2021. </w:t>
      </w:r>
    </w:p>
    <w:p w14:paraId="68559370" w14:textId="43430A8B" w:rsidR="0022588B" w:rsidRPr="004E6B03" w:rsidRDefault="0022588B"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Le elezioni si svolgono con cadenza triennale</w:t>
      </w:r>
      <w:r w:rsidR="0072365E">
        <w:rPr>
          <w:rFonts w:ascii="Tahoma" w:hAnsi="Tahoma" w:cs="Tahoma"/>
          <w:color w:val="19191A"/>
          <w:lang w:val="it-IT"/>
        </w:rPr>
        <w:t>. A</w:t>
      </w:r>
      <w:r w:rsidRPr="004E6B03">
        <w:rPr>
          <w:rFonts w:ascii="Tahoma" w:hAnsi="Tahoma" w:cs="Tahoma"/>
          <w:color w:val="19191A"/>
          <w:lang w:val="it-IT"/>
        </w:rPr>
        <w:t>ttuale Primo Ministro è Cristopher Luxon, in carica dal 27 novembre 2023. In genere, l’affluenza alle urne raggiunge percentuali del 75-80% de</w:t>
      </w:r>
      <w:r w:rsidR="007A3C52">
        <w:rPr>
          <w:rFonts w:ascii="Tahoma" w:hAnsi="Tahoma" w:cs="Tahoma"/>
          <w:color w:val="19191A"/>
          <w:lang w:val="it-IT"/>
        </w:rPr>
        <w:t>gli aventi diritto</w:t>
      </w:r>
      <w:r w:rsidRPr="004E6B03">
        <w:rPr>
          <w:rFonts w:ascii="Tahoma" w:hAnsi="Tahoma" w:cs="Tahoma"/>
          <w:color w:val="19191A"/>
          <w:lang w:val="it-IT"/>
        </w:rPr>
        <w:t>.</w:t>
      </w:r>
    </w:p>
    <w:p w14:paraId="3359D70A" w14:textId="6DE5AC4F" w:rsidR="00B07240" w:rsidRPr="004E6B03" w:rsidRDefault="0022588B"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Il sistema giuridico neozelandese si basa sulla “common law” inglese e comprende District Court e High Court (tribunali di primo grado), Court of Appeal e Supreme Court. Esistono anche tribunali speciali tra cui Environment Court, Employment Court ed Employment Relations Autority. </w:t>
      </w:r>
    </w:p>
    <w:p w14:paraId="141B89E6" w14:textId="77777777" w:rsidR="00CA4186" w:rsidRDefault="00CA4186" w:rsidP="00817E8E">
      <w:pPr>
        <w:pStyle w:val="NormalWeb"/>
        <w:shd w:val="clear" w:color="auto" w:fill="FFFFFF"/>
        <w:spacing w:before="0" w:beforeAutospacing="0" w:line="360" w:lineRule="auto"/>
        <w:contextualSpacing/>
        <w:jc w:val="both"/>
        <w:rPr>
          <w:rFonts w:ascii="Tahoma" w:hAnsi="Tahoma" w:cs="Tahoma"/>
          <w:lang w:val="it-IT"/>
        </w:rPr>
      </w:pPr>
    </w:p>
    <w:p w14:paraId="6AF3BC1C" w14:textId="1438E74B" w:rsidR="00D30F06" w:rsidRPr="00D44C71" w:rsidRDefault="00D30F06" w:rsidP="00817E8E">
      <w:pPr>
        <w:pStyle w:val="ListParagraph"/>
        <w:widowControl w:val="0"/>
        <w:numPr>
          <w:ilvl w:val="1"/>
          <w:numId w:val="2"/>
        </w:numPr>
        <w:autoSpaceDE w:val="0"/>
        <w:autoSpaceDN w:val="0"/>
        <w:spacing w:before="0" w:after="0" w:line="360" w:lineRule="auto"/>
        <w:rPr>
          <w:rFonts w:ascii="Tahoma" w:hAnsi="Tahoma" w:cs="Tahoma"/>
          <w:b/>
          <w:bCs/>
          <w:color w:val="215C8A"/>
          <w:spacing w:val="-6"/>
          <w:sz w:val="24"/>
          <w:szCs w:val="24"/>
          <w:lang w:val="it-IT"/>
        </w:rPr>
      </w:pPr>
      <w:r w:rsidRPr="00D44C71">
        <w:rPr>
          <w:rFonts w:ascii="Tahoma" w:hAnsi="Tahoma" w:cs="Tahoma"/>
          <w:b/>
          <w:bCs/>
          <w:color w:val="215C8A"/>
          <w:spacing w:val="-6"/>
          <w:sz w:val="24"/>
          <w:szCs w:val="24"/>
          <w:lang w:val="it-IT"/>
        </w:rPr>
        <w:t>RELAZIONI INTERNAZIONALI</w:t>
      </w:r>
    </w:p>
    <w:p w14:paraId="6B26DF18" w14:textId="3FE4998B" w:rsidR="004D01DB" w:rsidRDefault="0052782A" w:rsidP="00817E8E">
      <w:pPr>
        <w:pStyle w:val="NormalWeb"/>
        <w:shd w:val="clear" w:color="auto" w:fill="FFFFFF"/>
        <w:spacing w:before="0" w:beforeAutospacing="0" w:line="360" w:lineRule="auto"/>
        <w:contextualSpacing/>
        <w:jc w:val="both"/>
        <w:rPr>
          <w:rFonts w:ascii="Tahoma" w:hAnsi="Tahoma" w:cs="Tahoma"/>
          <w:color w:val="19191A"/>
          <w:lang w:val="it-IT"/>
        </w:rPr>
      </w:pPr>
      <w:r>
        <w:rPr>
          <w:rFonts w:ascii="Tahoma" w:hAnsi="Tahoma" w:cs="Tahoma"/>
          <w:color w:val="19191A"/>
          <w:lang w:val="it-IT"/>
        </w:rPr>
        <w:t>P</w:t>
      </w:r>
      <w:r w:rsidR="00D30F06" w:rsidRPr="004E6B03">
        <w:rPr>
          <w:rFonts w:ascii="Tahoma" w:hAnsi="Tahoma" w:cs="Tahoma"/>
          <w:color w:val="19191A"/>
          <w:lang w:val="it-IT"/>
        </w:rPr>
        <w:t xml:space="preserve">artner di riferimento della Nuova Zelanda </w:t>
      </w:r>
      <w:r>
        <w:rPr>
          <w:rFonts w:ascii="Tahoma" w:hAnsi="Tahoma" w:cs="Tahoma"/>
          <w:color w:val="19191A"/>
          <w:lang w:val="it-IT"/>
        </w:rPr>
        <w:t>sono</w:t>
      </w:r>
      <w:r w:rsidR="00D30F06" w:rsidRPr="004E6B03">
        <w:rPr>
          <w:rFonts w:ascii="Tahoma" w:hAnsi="Tahoma" w:cs="Tahoma"/>
          <w:color w:val="19191A"/>
          <w:lang w:val="it-IT"/>
        </w:rPr>
        <w:t xml:space="preserve"> tradizionalmente l’Australia</w:t>
      </w:r>
      <w:r>
        <w:rPr>
          <w:rFonts w:ascii="Tahoma" w:hAnsi="Tahoma" w:cs="Tahoma"/>
          <w:color w:val="19191A"/>
          <w:lang w:val="it-IT"/>
        </w:rPr>
        <w:t xml:space="preserve"> ed il Regno Unito</w:t>
      </w:r>
      <w:r w:rsidR="00D30F06" w:rsidRPr="004E6B03">
        <w:rPr>
          <w:rFonts w:ascii="Tahoma" w:hAnsi="Tahoma" w:cs="Tahoma"/>
          <w:color w:val="19191A"/>
          <w:lang w:val="it-IT"/>
        </w:rPr>
        <w:t>, per via degli stretti legami storici e culturali</w:t>
      </w:r>
      <w:r>
        <w:rPr>
          <w:rFonts w:ascii="Tahoma" w:hAnsi="Tahoma" w:cs="Tahoma"/>
          <w:color w:val="19191A"/>
          <w:lang w:val="it-IT"/>
        </w:rPr>
        <w:t xml:space="preserve"> e, nel caso del Regno Unito, anche istituzionali. </w:t>
      </w:r>
    </w:p>
    <w:p w14:paraId="356DEC41" w14:textId="40B4241A" w:rsidR="00D30F06" w:rsidRPr="004E6B03" w:rsidRDefault="00D30F06"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A livello regionale, Wellington, grazie alla sua politica di cooperazione allo sviluppo (Pacific </w:t>
      </w:r>
      <w:r w:rsidR="0052782A">
        <w:rPr>
          <w:rFonts w:ascii="Tahoma" w:hAnsi="Tahoma" w:cs="Tahoma"/>
          <w:color w:val="19191A"/>
          <w:lang w:val="it-IT"/>
        </w:rPr>
        <w:t>R</w:t>
      </w:r>
      <w:r w:rsidRPr="004E6B03">
        <w:rPr>
          <w:rFonts w:ascii="Tahoma" w:hAnsi="Tahoma" w:cs="Tahoma"/>
          <w:color w:val="19191A"/>
          <w:lang w:val="it-IT"/>
        </w:rPr>
        <w:t>eset), ha esteso la sua influenza sui piccoli Stati insulari del Pacifico e detiene un ruolo</w:t>
      </w:r>
      <w:r w:rsidR="0052782A">
        <w:rPr>
          <w:rFonts w:ascii="Tahoma" w:hAnsi="Tahoma" w:cs="Tahoma"/>
          <w:color w:val="19191A"/>
          <w:lang w:val="it-IT"/>
        </w:rPr>
        <w:t xml:space="preserve"> di primo piano</w:t>
      </w:r>
      <w:r w:rsidRPr="004E6B03">
        <w:rPr>
          <w:rFonts w:ascii="Tahoma" w:hAnsi="Tahoma" w:cs="Tahoma"/>
          <w:color w:val="19191A"/>
          <w:lang w:val="it-IT"/>
        </w:rPr>
        <w:t xml:space="preserve"> in seno all’architettura regionale di riferimento, il Pacific Islands Forum.</w:t>
      </w:r>
    </w:p>
    <w:p w14:paraId="550D3CF9" w14:textId="698469E8" w:rsidR="00D30F06" w:rsidRPr="004E6B03" w:rsidRDefault="00D30F06"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La lontananza geografica dai principali centri economico-politici spinge Wellington a dare </w:t>
      </w:r>
      <w:r w:rsidR="0052782A">
        <w:rPr>
          <w:rFonts w:ascii="Tahoma" w:hAnsi="Tahoma" w:cs="Tahoma"/>
          <w:color w:val="19191A"/>
          <w:lang w:val="it-IT"/>
        </w:rPr>
        <w:t xml:space="preserve">grande </w:t>
      </w:r>
      <w:r w:rsidRPr="004E6B03">
        <w:rPr>
          <w:rFonts w:ascii="Tahoma" w:hAnsi="Tahoma" w:cs="Tahoma"/>
          <w:color w:val="19191A"/>
          <w:lang w:val="it-IT"/>
        </w:rPr>
        <w:t>importanza alla dimensione multilaterale.</w:t>
      </w:r>
    </w:p>
    <w:p w14:paraId="7C447744" w14:textId="2C7D63B4" w:rsidR="00F123AE" w:rsidRPr="004E6B03" w:rsidRDefault="00D30F06"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La postura internazionale della Nuova Zelanda è sempre più influenzata dalla competizione strategica tra Cina e Stati Uniti nell'Indo-Pacifico</w:t>
      </w:r>
      <w:r w:rsidR="0052782A">
        <w:rPr>
          <w:rFonts w:ascii="Tahoma" w:hAnsi="Tahoma" w:cs="Tahoma"/>
          <w:color w:val="19191A"/>
          <w:lang w:val="it-IT"/>
        </w:rPr>
        <w:t xml:space="preserve"> e nel Pacifico meridionale.</w:t>
      </w:r>
      <w:r w:rsidRPr="004E6B03">
        <w:rPr>
          <w:rFonts w:ascii="Tahoma" w:hAnsi="Tahoma" w:cs="Tahoma"/>
          <w:color w:val="19191A"/>
          <w:lang w:val="it-IT"/>
        </w:rPr>
        <w:t xml:space="preserve"> </w:t>
      </w:r>
      <w:r w:rsidR="000A56C8">
        <w:rPr>
          <w:rFonts w:ascii="Tahoma" w:hAnsi="Tahoma" w:cs="Tahoma"/>
          <w:color w:val="19191A"/>
          <w:lang w:val="it-IT"/>
        </w:rPr>
        <w:t>Il Governo</w:t>
      </w:r>
      <w:r w:rsidRPr="004E6B03">
        <w:rPr>
          <w:rFonts w:ascii="Tahoma" w:hAnsi="Tahoma" w:cs="Tahoma"/>
          <w:color w:val="19191A"/>
          <w:lang w:val="it-IT"/>
        </w:rPr>
        <w:t xml:space="preserve"> sembra intenzionat</w:t>
      </w:r>
      <w:r w:rsidR="000A56C8">
        <w:rPr>
          <w:rFonts w:ascii="Tahoma" w:hAnsi="Tahoma" w:cs="Tahoma"/>
          <w:color w:val="19191A"/>
          <w:lang w:val="it-IT"/>
        </w:rPr>
        <w:t>o</w:t>
      </w:r>
      <w:r w:rsidRPr="004E6B03">
        <w:rPr>
          <w:rFonts w:ascii="Tahoma" w:hAnsi="Tahoma" w:cs="Tahoma"/>
          <w:color w:val="19191A"/>
          <w:lang w:val="it-IT"/>
        </w:rPr>
        <w:t xml:space="preserve"> a mantenere i legami commerciali con la Cina</w:t>
      </w:r>
      <w:r w:rsidR="0052782A">
        <w:rPr>
          <w:rFonts w:ascii="Tahoma" w:hAnsi="Tahoma" w:cs="Tahoma"/>
          <w:color w:val="19191A"/>
          <w:lang w:val="it-IT"/>
        </w:rPr>
        <w:t>, primo partner commerciale,</w:t>
      </w:r>
      <w:r w:rsidRPr="004E6B03">
        <w:rPr>
          <w:rFonts w:ascii="Tahoma" w:hAnsi="Tahoma" w:cs="Tahoma"/>
          <w:color w:val="19191A"/>
          <w:lang w:val="it-IT"/>
        </w:rPr>
        <w:t xml:space="preserve"> e al tempo stesso con</w:t>
      </w:r>
      <w:r w:rsidR="0052782A">
        <w:rPr>
          <w:rFonts w:ascii="Tahoma" w:hAnsi="Tahoma" w:cs="Tahoma"/>
          <w:color w:val="19191A"/>
          <w:lang w:val="it-IT"/>
        </w:rPr>
        <w:t>fermare</w:t>
      </w:r>
      <w:r w:rsidRPr="004E6B03">
        <w:rPr>
          <w:rFonts w:ascii="Tahoma" w:hAnsi="Tahoma" w:cs="Tahoma"/>
          <w:color w:val="19191A"/>
          <w:lang w:val="it-IT"/>
        </w:rPr>
        <w:t xml:space="preserve"> la vicinanza alla sfera angloamericana</w:t>
      </w:r>
      <w:r w:rsidR="0052782A">
        <w:rPr>
          <w:rFonts w:ascii="Tahoma" w:hAnsi="Tahoma" w:cs="Tahoma"/>
          <w:color w:val="19191A"/>
          <w:lang w:val="it-IT"/>
        </w:rPr>
        <w:t>, sotto il profilo geostrategico.</w:t>
      </w:r>
    </w:p>
    <w:p w14:paraId="77E9019B" w14:textId="26B966C8" w:rsidR="00D30F06" w:rsidRPr="004E6B03" w:rsidRDefault="00F123AE"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lastRenderedPageBreak/>
        <w:t>Contemporaneamente</w:t>
      </w:r>
      <w:r w:rsidR="00D30F06" w:rsidRPr="004E6B03">
        <w:rPr>
          <w:rFonts w:ascii="Tahoma" w:hAnsi="Tahoma" w:cs="Tahoma"/>
          <w:color w:val="19191A"/>
          <w:lang w:val="it-IT"/>
        </w:rPr>
        <w:t xml:space="preserve"> l'Unione Europea sta emergendo come partner</w:t>
      </w:r>
      <w:r w:rsidR="0052782A">
        <w:rPr>
          <w:rFonts w:ascii="Tahoma" w:hAnsi="Tahoma" w:cs="Tahoma"/>
          <w:color w:val="19191A"/>
          <w:lang w:val="it-IT"/>
        </w:rPr>
        <w:t xml:space="preserve"> sempre più</w:t>
      </w:r>
      <w:r w:rsidR="00D30F06" w:rsidRPr="004E6B03">
        <w:rPr>
          <w:rFonts w:ascii="Tahoma" w:hAnsi="Tahoma" w:cs="Tahoma"/>
          <w:color w:val="19191A"/>
          <w:lang w:val="it-IT"/>
        </w:rPr>
        <w:t xml:space="preserve"> rilevante in materia di sviluppo sostenibile, transizione energetica</w:t>
      </w:r>
      <w:r w:rsidR="0052782A">
        <w:rPr>
          <w:rFonts w:ascii="Tahoma" w:hAnsi="Tahoma" w:cs="Tahoma"/>
          <w:color w:val="19191A"/>
          <w:lang w:val="it-IT"/>
        </w:rPr>
        <w:t xml:space="preserve">, </w:t>
      </w:r>
      <w:r w:rsidR="00D30F06" w:rsidRPr="004E6B03">
        <w:rPr>
          <w:rFonts w:ascii="Tahoma" w:hAnsi="Tahoma" w:cs="Tahoma"/>
          <w:color w:val="19191A"/>
          <w:lang w:val="it-IT"/>
        </w:rPr>
        <w:t>lotta al cambiamento climatico</w:t>
      </w:r>
      <w:r w:rsidR="007A3C52">
        <w:rPr>
          <w:rFonts w:ascii="Tahoma" w:hAnsi="Tahoma" w:cs="Tahoma"/>
          <w:color w:val="19191A"/>
          <w:lang w:val="it-IT"/>
        </w:rPr>
        <w:t xml:space="preserve"> </w:t>
      </w:r>
      <w:r w:rsidR="00D30F06" w:rsidRPr="004E6B03">
        <w:rPr>
          <w:rFonts w:ascii="Tahoma" w:hAnsi="Tahoma" w:cs="Tahoma"/>
          <w:color w:val="19191A"/>
          <w:lang w:val="it-IT"/>
        </w:rPr>
        <w:t>e intensificazione dei legami commerciali</w:t>
      </w:r>
      <w:r w:rsidR="0052782A">
        <w:rPr>
          <w:rFonts w:ascii="Tahoma" w:hAnsi="Tahoma" w:cs="Tahoma"/>
          <w:color w:val="19191A"/>
          <w:lang w:val="it-IT"/>
        </w:rPr>
        <w:t>, soprattutto grazie all</w:t>
      </w:r>
      <w:r w:rsidR="008E4113">
        <w:rPr>
          <w:rFonts w:ascii="Tahoma" w:hAnsi="Tahoma" w:cs="Tahoma"/>
          <w:color w:val="19191A"/>
          <w:lang w:val="it-IT"/>
        </w:rPr>
        <w:t xml:space="preserve">a entrata in vigore, il 1° maggio 2024, dell’Accordo di Libero Scambio UE-NZ, che ha già favorito, nei primi 18 mesi di applicazione, un significativo incremento dell’interscambio bilaterale. Il Business Summit NZ-UE del 23-24 ottobre 2025 ad Auckland ha poi posto </w:t>
      </w:r>
      <w:r w:rsidR="001566E5">
        <w:rPr>
          <w:rFonts w:ascii="Tahoma" w:hAnsi="Tahoma" w:cs="Tahoma"/>
          <w:color w:val="19191A"/>
          <w:lang w:val="it-IT"/>
        </w:rPr>
        <w:t>l’accento</w:t>
      </w:r>
      <w:r w:rsidR="008E4113">
        <w:rPr>
          <w:rFonts w:ascii="Tahoma" w:hAnsi="Tahoma" w:cs="Tahoma"/>
          <w:color w:val="19191A"/>
          <w:lang w:val="it-IT"/>
        </w:rPr>
        <w:t xml:space="preserve"> sulle opportunità offerte dalla Nuova Zelanda alle aziende europee nei settori</w:t>
      </w:r>
      <w:r w:rsidR="00FE3816">
        <w:rPr>
          <w:rFonts w:ascii="Tahoma" w:hAnsi="Tahoma" w:cs="Tahoma"/>
          <w:color w:val="19191A"/>
          <w:lang w:val="it-IT"/>
        </w:rPr>
        <w:t xml:space="preserve"> </w:t>
      </w:r>
      <w:r w:rsidR="008E4113">
        <w:rPr>
          <w:rFonts w:ascii="Tahoma" w:hAnsi="Tahoma" w:cs="Tahoma"/>
          <w:color w:val="19191A"/>
          <w:lang w:val="it-IT"/>
        </w:rPr>
        <w:t xml:space="preserve">infrastrutture, transizione energetica ed energia rinnovabile, aerospazio e difesa. </w:t>
      </w:r>
    </w:p>
    <w:p w14:paraId="43D0801C" w14:textId="161E5A13" w:rsidR="00D30F06" w:rsidRDefault="00D30F06"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Dal punto di vista politico e militare rimane significativo il rapporto con gli Stati Uniti, con cui Wellington è parte</w:t>
      </w:r>
      <w:r w:rsidR="00D95292">
        <w:rPr>
          <w:rFonts w:ascii="Tahoma" w:hAnsi="Tahoma" w:cs="Tahoma"/>
          <w:color w:val="19191A"/>
          <w:lang w:val="it-IT"/>
        </w:rPr>
        <w:t>,</w:t>
      </w:r>
      <w:r w:rsidRPr="004E6B03">
        <w:rPr>
          <w:rFonts w:ascii="Tahoma" w:hAnsi="Tahoma" w:cs="Tahoma"/>
          <w:color w:val="19191A"/>
          <w:lang w:val="it-IT"/>
        </w:rPr>
        <w:t xml:space="preserve"> insieme all’Australia</w:t>
      </w:r>
      <w:r w:rsidR="00D95292">
        <w:rPr>
          <w:rFonts w:ascii="Tahoma" w:hAnsi="Tahoma" w:cs="Tahoma"/>
          <w:color w:val="19191A"/>
          <w:lang w:val="it-IT"/>
        </w:rPr>
        <w:t>,</w:t>
      </w:r>
      <w:r w:rsidRPr="004E6B03">
        <w:rPr>
          <w:rFonts w:ascii="Tahoma" w:hAnsi="Tahoma" w:cs="Tahoma"/>
          <w:color w:val="19191A"/>
          <w:lang w:val="it-IT"/>
        </w:rPr>
        <w:t xml:space="preserve"> del trattato tripartito di sicurezza “ANZUS”, alleanza tuttavia congelata</w:t>
      </w:r>
      <w:r w:rsidR="0052782A">
        <w:rPr>
          <w:rFonts w:ascii="Tahoma" w:hAnsi="Tahoma" w:cs="Tahoma"/>
          <w:color w:val="19191A"/>
          <w:lang w:val="it-IT"/>
        </w:rPr>
        <w:t>,</w:t>
      </w:r>
      <w:r w:rsidRPr="004E6B03">
        <w:rPr>
          <w:rFonts w:ascii="Tahoma" w:hAnsi="Tahoma" w:cs="Tahoma"/>
          <w:color w:val="19191A"/>
          <w:lang w:val="it-IT"/>
        </w:rPr>
        <w:t xml:space="preserve"> </w:t>
      </w:r>
      <w:r w:rsidR="0052782A">
        <w:rPr>
          <w:rFonts w:ascii="Tahoma" w:hAnsi="Tahoma" w:cs="Tahoma"/>
          <w:color w:val="19191A"/>
          <w:lang w:val="it-IT"/>
        </w:rPr>
        <w:t xml:space="preserve">per questo paese, </w:t>
      </w:r>
      <w:r w:rsidRPr="004E6B03">
        <w:rPr>
          <w:rFonts w:ascii="Tahoma" w:hAnsi="Tahoma" w:cs="Tahoma"/>
          <w:color w:val="19191A"/>
          <w:lang w:val="it-IT"/>
        </w:rPr>
        <w:t xml:space="preserve">a causa della </w:t>
      </w:r>
      <w:r w:rsidR="0052782A">
        <w:rPr>
          <w:rFonts w:ascii="Tahoma" w:hAnsi="Tahoma" w:cs="Tahoma"/>
          <w:color w:val="19191A"/>
          <w:lang w:val="it-IT"/>
        </w:rPr>
        <w:t xml:space="preserve">sua </w:t>
      </w:r>
      <w:r w:rsidRPr="004E6B03">
        <w:rPr>
          <w:rFonts w:ascii="Tahoma" w:hAnsi="Tahoma" w:cs="Tahoma"/>
          <w:color w:val="19191A"/>
          <w:lang w:val="it-IT"/>
        </w:rPr>
        <w:t>ferma politica antinuclear</w:t>
      </w:r>
      <w:r w:rsidR="0052782A">
        <w:rPr>
          <w:rFonts w:ascii="Tahoma" w:hAnsi="Tahoma" w:cs="Tahoma"/>
          <w:color w:val="19191A"/>
          <w:lang w:val="it-IT"/>
        </w:rPr>
        <w:t>e</w:t>
      </w:r>
      <w:r w:rsidRPr="004E6B03">
        <w:rPr>
          <w:rFonts w:ascii="Tahoma" w:hAnsi="Tahoma" w:cs="Tahoma"/>
          <w:color w:val="19191A"/>
          <w:lang w:val="it-IT"/>
        </w:rPr>
        <w:t>.</w:t>
      </w:r>
    </w:p>
    <w:p w14:paraId="25723AEF" w14:textId="77777777" w:rsidR="00817E8E" w:rsidRPr="004E6B03" w:rsidRDefault="00817E8E" w:rsidP="00817E8E">
      <w:pPr>
        <w:pStyle w:val="NormalWeb"/>
        <w:shd w:val="clear" w:color="auto" w:fill="FFFFFF"/>
        <w:spacing w:before="0" w:beforeAutospacing="0" w:line="360" w:lineRule="auto"/>
        <w:contextualSpacing/>
        <w:jc w:val="both"/>
        <w:rPr>
          <w:rFonts w:ascii="Tahoma" w:hAnsi="Tahoma" w:cs="Tahoma"/>
          <w:color w:val="19191A"/>
          <w:lang w:val="it-IT"/>
        </w:rPr>
      </w:pPr>
    </w:p>
    <w:p w14:paraId="238943D2" w14:textId="64BE1061" w:rsidR="00D30F06" w:rsidRPr="004E6B03" w:rsidRDefault="00D30F06" w:rsidP="00817E8E">
      <w:pPr>
        <w:pStyle w:val="ListParagraph"/>
        <w:widowControl w:val="0"/>
        <w:numPr>
          <w:ilvl w:val="1"/>
          <w:numId w:val="2"/>
        </w:numPr>
        <w:autoSpaceDE w:val="0"/>
        <w:autoSpaceDN w:val="0"/>
        <w:spacing w:before="0" w:after="0" w:line="360" w:lineRule="auto"/>
        <w:rPr>
          <w:rFonts w:ascii="Tahoma" w:hAnsi="Tahoma" w:cs="Tahoma"/>
          <w:b/>
          <w:bCs/>
          <w:color w:val="215C8A"/>
          <w:spacing w:val="-6"/>
          <w:sz w:val="24"/>
          <w:szCs w:val="24"/>
          <w:lang w:val="it-IT"/>
        </w:rPr>
      </w:pPr>
      <w:bookmarkStart w:id="4" w:name="_Hlk214437978"/>
      <w:r w:rsidRPr="004E6B03">
        <w:rPr>
          <w:rFonts w:ascii="Tahoma" w:hAnsi="Tahoma" w:cs="Tahoma"/>
          <w:b/>
          <w:bCs/>
          <w:color w:val="215C8A"/>
          <w:spacing w:val="-6"/>
          <w:sz w:val="24"/>
          <w:szCs w:val="24"/>
          <w:lang w:val="it-IT"/>
        </w:rPr>
        <w:t>QUADRO MACROECONOMICO</w:t>
      </w:r>
      <w:bookmarkEnd w:id="4"/>
    </w:p>
    <w:p w14:paraId="5AF2433C" w14:textId="284A0ACD" w:rsidR="00786D46" w:rsidRPr="004E6B03" w:rsidRDefault="00786D46" w:rsidP="00817E8E">
      <w:pPr>
        <w:widowControl w:val="0"/>
        <w:autoSpaceDE w:val="0"/>
        <w:autoSpaceDN w:val="0"/>
        <w:spacing w:before="0" w:after="0" w:line="360" w:lineRule="auto"/>
        <w:rPr>
          <w:rFonts w:ascii="Tahoma" w:hAnsi="Tahoma" w:cs="Tahoma"/>
          <w:sz w:val="24"/>
          <w:szCs w:val="24"/>
          <w:lang w:val="it-IT"/>
        </w:rPr>
      </w:pPr>
      <w:r w:rsidRPr="00884422">
        <w:rPr>
          <w:rFonts w:ascii="Tahoma" w:hAnsi="Tahoma" w:cs="Tahoma"/>
          <w:sz w:val="24"/>
          <w:szCs w:val="24"/>
          <w:lang w:val="it-IT"/>
        </w:rPr>
        <w:t>L</w:t>
      </w:r>
      <w:r w:rsidR="0022588B" w:rsidRPr="00884422">
        <w:rPr>
          <w:rFonts w:ascii="Tahoma" w:hAnsi="Tahoma" w:cs="Tahoma"/>
          <w:sz w:val="24"/>
          <w:szCs w:val="24"/>
          <w:lang w:val="it-IT"/>
        </w:rPr>
        <w:t>’ultimo aggiornamento pubblicato dal Ministero del Tesoro (The Treasury)</w:t>
      </w:r>
      <w:r w:rsidR="00D742E4">
        <w:rPr>
          <w:rFonts w:ascii="Tahoma" w:hAnsi="Tahoma" w:cs="Tahoma"/>
          <w:sz w:val="24"/>
          <w:szCs w:val="24"/>
          <w:lang w:val="it-IT"/>
        </w:rPr>
        <w:t xml:space="preserve"> indica </w:t>
      </w:r>
      <w:r w:rsidR="00884422" w:rsidRPr="00884422">
        <w:rPr>
          <w:rFonts w:ascii="Tahoma" w:hAnsi="Tahoma" w:cs="Tahoma"/>
          <w:sz w:val="24"/>
          <w:szCs w:val="24"/>
          <w:lang w:val="it-IT"/>
        </w:rPr>
        <w:t>una decrescita del PIL dell’0,8%</w:t>
      </w:r>
      <w:r w:rsidR="00D742E4">
        <w:rPr>
          <w:rFonts w:ascii="Tahoma" w:hAnsi="Tahoma" w:cs="Tahoma"/>
          <w:sz w:val="24"/>
          <w:szCs w:val="24"/>
          <w:lang w:val="it-IT"/>
        </w:rPr>
        <w:t xml:space="preserve"> nei primi sei mesi dell’anno</w:t>
      </w:r>
      <w:r w:rsidR="00884422">
        <w:rPr>
          <w:rFonts w:ascii="Tahoma" w:hAnsi="Tahoma" w:cs="Tahoma"/>
          <w:sz w:val="24"/>
          <w:szCs w:val="24"/>
          <w:lang w:val="it-IT"/>
        </w:rPr>
        <w:t xml:space="preserve">. La </w:t>
      </w:r>
      <w:r w:rsidR="0022588B" w:rsidRPr="00884422">
        <w:rPr>
          <w:rFonts w:ascii="Tahoma" w:hAnsi="Tahoma" w:cs="Tahoma"/>
          <w:sz w:val="24"/>
          <w:szCs w:val="24"/>
          <w:lang w:val="it-IT"/>
        </w:rPr>
        <w:t>crescita economica</w:t>
      </w:r>
      <w:r w:rsidR="00884422">
        <w:rPr>
          <w:rFonts w:ascii="Tahoma" w:hAnsi="Tahoma" w:cs="Tahoma"/>
          <w:sz w:val="24"/>
          <w:szCs w:val="24"/>
          <w:lang w:val="it-IT"/>
        </w:rPr>
        <w:t>, secondo le attuali previsioni,</w:t>
      </w:r>
      <w:r w:rsidR="0022588B" w:rsidRPr="00884422">
        <w:rPr>
          <w:rFonts w:ascii="Tahoma" w:hAnsi="Tahoma" w:cs="Tahoma"/>
          <w:sz w:val="24"/>
          <w:szCs w:val="24"/>
          <w:lang w:val="it-IT"/>
        </w:rPr>
        <w:t xml:space="preserve"> </w:t>
      </w:r>
      <w:r w:rsidR="00615C53">
        <w:rPr>
          <w:rFonts w:ascii="Tahoma" w:hAnsi="Tahoma" w:cs="Tahoma"/>
          <w:sz w:val="24"/>
          <w:szCs w:val="24"/>
          <w:lang w:val="it-IT"/>
        </w:rPr>
        <w:t>potrebbe ripartire già nella seconda metà</w:t>
      </w:r>
      <w:r w:rsidR="00884422" w:rsidRPr="00884422">
        <w:rPr>
          <w:rFonts w:ascii="Tahoma" w:hAnsi="Tahoma" w:cs="Tahoma"/>
          <w:sz w:val="24"/>
          <w:szCs w:val="24"/>
          <w:lang w:val="it-IT"/>
        </w:rPr>
        <w:t xml:space="preserve"> </w:t>
      </w:r>
      <w:r w:rsidR="00615C53">
        <w:rPr>
          <w:rFonts w:ascii="Tahoma" w:hAnsi="Tahoma" w:cs="Tahoma"/>
          <w:sz w:val="24"/>
          <w:szCs w:val="24"/>
          <w:lang w:val="it-IT"/>
        </w:rPr>
        <w:t>d</w:t>
      </w:r>
      <w:r w:rsidR="0022588B" w:rsidRPr="00884422">
        <w:rPr>
          <w:rFonts w:ascii="Tahoma" w:hAnsi="Tahoma" w:cs="Tahoma"/>
          <w:sz w:val="24"/>
          <w:szCs w:val="24"/>
          <w:lang w:val="it-IT"/>
        </w:rPr>
        <w:t>el 202</w:t>
      </w:r>
      <w:r w:rsidR="00615C53">
        <w:rPr>
          <w:rFonts w:ascii="Tahoma" w:hAnsi="Tahoma" w:cs="Tahoma"/>
          <w:sz w:val="24"/>
          <w:szCs w:val="24"/>
          <w:lang w:val="it-IT"/>
        </w:rPr>
        <w:t xml:space="preserve">5. L’aspettativa </w:t>
      </w:r>
      <w:r w:rsidR="0022588B" w:rsidRPr="00884422">
        <w:rPr>
          <w:rFonts w:ascii="Tahoma" w:hAnsi="Tahoma" w:cs="Tahoma"/>
          <w:sz w:val="24"/>
          <w:szCs w:val="24"/>
          <w:lang w:val="it-IT"/>
        </w:rPr>
        <w:t>di crescita del PIL reale</w:t>
      </w:r>
      <w:r w:rsidR="00615C53">
        <w:rPr>
          <w:rFonts w:ascii="Tahoma" w:hAnsi="Tahoma" w:cs="Tahoma"/>
          <w:sz w:val="24"/>
          <w:szCs w:val="24"/>
          <w:lang w:val="it-IT"/>
        </w:rPr>
        <w:t xml:space="preserve"> nel 2026 si attesta intorno al</w:t>
      </w:r>
      <w:r w:rsidR="0022588B" w:rsidRPr="00884422">
        <w:rPr>
          <w:rFonts w:ascii="Tahoma" w:hAnsi="Tahoma" w:cs="Tahoma"/>
          <w:sz w:val="24"/>
          <w:szCs w:val="24"/>
          <w:lang w:val="it-IT"/>
        </w:rPr>
        <w:t xml:space="preserve"> </w:t>
      </w:r>
      <w:r w:rsidR="00884422" w:rsidRPr="00884422">
        <w:rPr>
          <w:rFonts w:ascii="Tahoma" w:hAnsi="Tahoma" w:cs="Tahoma"/>
          <w:sz w:val="24"/>
          <w:szCs w:val="24"/>
          <w:lang w:val="it-IT"/>
        </w:rPr>
        <w:t>2,9</w:t>
      </w:r>
      <w:r w:rsidR="0022588B" w:rsidRPr="00884422">
        <w:rPr>
          <w:rFonts w:ascii="Tahoma" w:hAnsi="Tahoma" w:cs="Tahoma"/>
          <w:sz w:val="24"/>
          <w:szCs w:val="24"/>
          <w:lang w:val="it-IT"/>
        </w:rPr>
        <w:t>%</w:t>
      </w:r>
      <w:r w:rsidR="00884422" w:rsidRPr="00884422">
        <w:rPr>
          <w:rFonts w:ascii="Tahoma" w:hAnsi="Tahoma" w:cs="Tahoma"/>
          <w:sz w:val="24"/>
          <w:szCs w:val="24"/>
          <w:lang w:val="it-IT"/>
        </w:rPr>
        <w:t>.</w:t>
      </w:r>
    </w:p>
    <w:p w14:paraId="4ADC85D7" w14:textId="4DDAC3DF" w:rsidR="00786D46" w:rsidRPr="004E6B03" w:rsidRDefault="0022588B" w:rsidP="00817E8E">
      <w:pPr>
        <w:widowControl w:val="0"/>
        <w:autoSpaceDE w:val="0"/>
        <w:autoSpaceDN w:val="0"/>
        <w:spacing w:before="0" w:after="0" w:line="360" w:lineRule="auto"/>
        <w:rPr>
          <w:rFonts w:ascii="Tahoma" w:hAnsi="Tahoma" w:cs="Tahoma"/>
          <w:sz w:val="24"/>
          <w:szCs w:val="24"/>
          <w:lang w:val="it-IT"/>
        </w:rPr>
      </w:pPr>
      <w:r w:rsidRPr="004E6B03">
        <w:rPr>
          <w:rFonts w:ascii="Tahoma" w:hAnsi="Tahoma" w:cs="Tahoma"/>
          <w:sz w:val="24"/>
          <w:szCs w:val="24"/>
          <w:lang w:val="it-IT"/>
        </w:rPr>
        <w:t>L'elevata inflazione e gli alti tassi di interesse</w:t>
      </w:r>
      <w:r w:rsidR="00786D46" w:rsidRPr="004E6B03">
        <w:rPr>
          <w:rFonts w:ascii="Tahoma" w:hAnsi="Tahoma" w:cs="Tahoma"/>
          <w:sz w:val="24"/>
          <w:szCs w:val="24"/>
          <w:lang w:val="it-IT"/>
        </w:rPr>
        <w:t xml:space="preserve"> sperimentati</w:t>
      </w:r>
      <w:r w:rsidRPr="004E6B03">
        <w:rPr>
          <w:rFonts w:ascii="Tahoma" w:hAnsi="Tahoma" w:cs="Tahoma"/>
          <w:sz w:val="24"/>
          <w:szCs w:val="24"/>
          <w:lang w:val="it-IT"/>
        </w:rPr>
        <w:t xml:space="preserve"> hanno</w:t>
      </w:r>
      <w:r w:rsidR="008E4113">
        <w:rPr>
          <w:rFonts w:ascii="Tahoma" w:hAnsi="Tahoma" w:cs="Tahoma"/>
          <w:sz w:val="24"/>
          <w:szCs w:val="24"/>
          <w:lang w:val="it-IT"/>
        </w:rPr>
        <w:t xml:space="preserve"> avuto un</w:t>
      </w:r>
      <w:r w:rsidRPr="004E6B03">
        <w:rPr>
          <w:rFonts w:ascii="Tahoma" w:hAnsi="Tahoma" w:cs="Tahoma"/>
          <w:sz w:val="24"/>
          <w:szCs w:val="24"/>
          <w:lang w:val="it-IT"/>
        </w:rPr>
        <w:t xml:space="preserve"> </w:t>
      </w:r>
      <w:r w:rsidR="00786D46" w:rsidRPr="004E6B03">
        <w:rPr>
          <w:rFonts w:ascii="Tahoma" w:hAnsi="Tahoma" w:cs="Tahoma"/>
          <w:sz w:val="24"/>
          <w:szCs w:val="24"/>
          <w:lang w:val="it-IT"/>
        </w:rPr>
        <w:t>impat</w:t>
      </w:r>
      <w:r w:rsidR="008E4113">
        <w:rPr>
          <w:rFonts w:ascii="Tahoma" w:hAnsi="Tahoma" w:cs="Tahoma"/>
          <w:sz w:val="24"/>
          <w:szCs w:val="24"/>
          <w:lang w:val="it-IT"/>
        </w:rPr>
        <w:t xml:space="preserve">to </w:t>
      </w:r>
      <w:r w:rsidR="00786D46" w:rsidRPr="004E6B03">
        <w:rPr>
          <w:rFonts w:ascii="Tahoma" w:hAnsi="Tahoma" w:cs="Tahoma"/>
          <w:sz w:val="24"/>
          <w:szCs w:val="24"/>
          <w:lang w:val="it-IT"/>
        </w:rPr>
        <w:t>negativ</w:t>
      </w:r>
      <w:r w:rsidR="008E4113">
        <w:rPr>
          <w:rFonts w:ascii="Tahoma" w:hAnsi="Tahoma" w:cs="Tahoma"/>
          <w:sz w:val="24"/>
          <w:szCs w:val="24"/>
          <w:lang w:val="it-IT"/>
        </w:rPr>
        <w:t>o</w:t>
      </w:r>
      <w:r w:rsidR="00786D46" w:rsidRPr="004E6B03">
        <w:rPr>
          <w:rFonts w:ascii="Tahoma" w:hAnsi="Tahoma" w:cs="Tahoma"/>
          <w:sz w:val="24"/>
          <w:szCs w:val="24"/>
          <w:lang w:val="it-IT"/>
        </w:rPr>
        <w:t xml:space="preserve"> sui bilanci</w:t>
      </w:r>
      <w:r w:rsidRPr="004E6B03">
        <w:rPr>
          <w:rFonts w:ascii="Tahoma" w:hAnsi="Tahoma" w:cs="Tahoma"/>
          <w:sz w:val="24"/>
          <w:szCs w:val="24"/>
          <w:lang w:val="it-IT"/>
        </w:rPr>
        <w:t xml:space="preserve"> delle famiglie, ridotto l'attività nel mercato immobiliare e abbassato gli investimenti aziendali. Con l'inflazione che sta tornando nell'intervallo obiettivo tra l'1% e il 3% nel medio termine (con l'obiettivo di mantenere l'inflazione futura vicina al punto medio del 2%), la Reserve Bank ha allentato le sue politiche restrittive. La riduzione dei tassi di interesse </w:t>
      </w:r>
      <w:r w:rsidR="00615C53">
        <w:rPr>
          <w:rFonts w:ascii="Tahoma" w:hAnsi="Tahoma" w:cs="Tahoma"/>
          <w:sz w:val="24"/>
          <w:szCs w:val="24"/>
          <w:lang w:val="it-IT"/>
        </w:rPr>
        <w:t>dovrebbe favorire</w:t>
      </w:r>
      <w:r w:rsidRPr="004E6B03">
        <w:rPr>
          <w:rFonts w:ascii="Tahoma" w:hAnsi="Tahoma" w:cs="Tahoma"/>
          <w:sz w:val="24"/>
          <w:szCs w:val="24"/>
          <w:lang w:val="it-IT"/>
        </w:rPr>
        <w:t xml:space="preserve"> un aumento dei consumi delle famiglie e una ripresa dei prezzi delle case e degli investimenti nel settore residenziale. Anche le esportazioni daranno un contributo chiave alla crescita. Tuttavia, la ripresa dell'attività economica è limitata dalla lenta crescita della produttività del lavoro, con il Ministero del Tesoro che ha dovuto rivedere al ribasso le sue previsioni di produttività nell'ultimo anno. </w:t>
      </w:r>
    </w:p>
    <w:p w14:paraId="09730B1A" w14:textId="5C99206C" w:rsidR="00786D46" w:rsidRPr="004E6B03" w:rsidRDefault="0022588B" w:rsidP="00817E8E">
      <w:pPr>
        <w:widowControl w:val="0"/>
        <w:autoSpaceDE w:val="0"/>
        <w:autoSpaceDN w:val="0"/>
        <w:spacing w:before="0" w:after="0" w:line="360" w:lineRule="auto"/>
        <w:rPr>
          <w:rFonts w:ascii="Tahoma" w:hAnsi="Tahoma" w:cs="Tahoma"/>
          <w:sz w:val="24"/>
          <w:szCs w:val="24"/>
          <w:lang w:val="it-IT"/>
        </w:rPr>
      </w:pPr>
      <w:r w:rsidRPr="004E6B03">
        <w:rPr>
          <w:rFonts w:ascii="Tahoma" w:hAnsi="Tahoma" w:cs="Tahoma"/>
          <w:sz w:val="24"/>
          <w:szCs w:val="24"/>
          <w:lang w:val="it-IT"/>
        </w:rPr>
        <w:t>Il tasso di disoccupazione è aumentato a un ritmo più lento rispetto alle previsioni</w:t>
      </w:r>
      <w:r w:rsidR="00615C53">
        <w:rPr>
          <w:rFonts w:ascii="Tahoma" w:hAnsi="Tahoma" w:cs="Tahoma"/>
          <w:sz w:val="24"/>
          <w:szCs w:val="24"/>
          <w:lang w:val="it-IT"/>
        </w:rPr>
        <w:t>,</w:t>
      </w:r>
      <w:r w:rsidRPr="004E6B03">
        <w:rPr>
          <w:rFonts w:ascii="Tahoma" w:hAnsi="Tahoma" w:cs="Tahoma"/>
          <w:sz w:val="24"/>
          <w:szCs w:val="24"/>
          <w:lang w:val="it-IT"/>
        </w:rPr>
        <w:t xml:space="preserve"> a </w:t>
      </w:r>
      <w:r w:rsidRPr="004E6B03">
        <w:rPr>
          <w:rFonts w:ascii="Tahoma" w:hAnsi="Tahoma" w:cs="Tahoma"/>
          <w:sz w:val="24"/>
          <w:szCs w:val="24"/>
          <w:lang w:val="it-IT"/>
        </w:rPr>
        <w:lastRenderedPageBreak/>
        <w:t>causa di una riduzione delle dimensioni della forza lavoro</w:t>
      </w:r>
      <w:r w:rsidR="00786D46" w:rsidRPr="004E6B03">
        <w:rPr>
          <w:rFonts w:ascii="Tahoma" w:hAnsi="Tahoma" w:cs="Tahoma"/>
          <w:sz w:val="24"/>
          <w:szCs w:val="24"/>
          <w:lang w:val="it-IT"/>
        </w:rPr>
        <w:t xml:space="preserve">, dovuto anche ad </w:t>
      </w:r>
      <w:r w:rsidRPr="004E6B03">
        <w:rPr>
          <w:rFonts w:ascii="Tahoma" w:hAnsi="Tahoma" w:cs="Tahoma"/>
          <w:sz w:val="24"/>
          <w:szCs w:val="24"/>
          <w:lang w:val="it-IT"/>
        </w:rPr>
        <w:t>un numero crescente di neozelandesi</w:t>
      </w:r>
      <w:r w:rsidR="0073782B">
        <w:rPr>
          <w:rFonts w:ascii="Tahoma" w:hAnsi="Tahoma" w:cs="Tahoma"/>
          <w:sz w:val="24"/>
          <w:szCs w:val="24"/>
          <w:lang w:val="it-IT"/>
        </w:rPr>
        <w:t xml:space="preserve"> che</w:t>
      </w:r>
      <w:r w:rsidRPr="004E6B03">
        <w:rPr>
          <w:rFonts w:ascii="Tahoma" w:hAnsi="Tahoma" w:cs="Tahoma"/>
          <w:sz w:val="24"/>
          <w:szCs w:val="24"/>
          <w:lang w:val="it-IT"/>
        </w:rPr>
        <w:t xml:space="preserve"> lascia</w:t>
      </w:r>
      <w:r w:rsidR="0073782B">
        <w:rPr>
          <w:rFonts w:ascii="Tahoma" w:hAnsi="Tahoma" w:cs="Tahoma"/>
          <w:sz w:val="24"/>
          <w:szCs w:val="24"/>
          <w:lang w:val="it-IT"/>
        </w:rPr>
        <w:t>no</w:t>
      </w:r>
      <w:r w:rsidRPr="004E6B03">
        <w:rPr>
          <w:rFonts w:ascii="Tahoma" w:hAnsi="Tahoma" w:cs="Tahoma"/>
          <w:sz w:val="24"/>
          <w:szCs w:val="24"/>
          <w:lang w:val="it-IT"/>
        </w:rPr>
        <w:t xml:space="preserve"> il Paese per trasferirsi all'estero. </w:t>
      </w:r>
    </w:p>
    <w:p w14:paraId="1204D65C" w14:textId="6B7B881E" w:rsidR="00CA4186" w:rsidRDefault="00C94021" w:rsidP="00817E8E">
      <w:pPr>
        <w:widowControl w:val="0"/>
        <w:autoSpaceDE w:val="0"/>
        <w:autoSpaceDN w:val="0"/>
        <w:spacing w:before="0" w:after="0" w:line="360" w:lineRule="auto"/>
        <w:rPr>
          <w:rFonts w:ascii="Tahoma" w:hAnsi="Tahoma" w:cs="Tahoma"/>
          <w:sz w:val="24"/>
          <w:szCs w:val="24"/>
          <w:lang w:val="it-IT"/>
        </w:rPr>
      </w:pPr>
      <w:r>
        <w:rPr>
          <w:rFonts w:ascii="Tahoma" w:hAnsi="Tahoma" w:cs="Tahoma"/>
          <w:sz w:val="24"/>
          <w:szCs w:val="24"/>
          <w:lang w:val="it-IT"/>
        </w:rPr>
        <w:t>L’</w:t>
      </w:r>
      <w:r w:rsidR="0022588B" w:rsidRPr="004E6B03">
        <w:rPr>
          <w:rFonts w:ascii="Tahoma" w:hAnsi="Tahoma" w:cs="Tahoma"/>
          <w:sz w:val="24"/>
          <w:szCs w:val="24"/>
          <w:lang w:val="it-IT"/>
        </w:rPr>
        <w:t xml:space="preserve">aumento dei prezzi dell'elettricità per l'industria </w:t>
      </w:r>
      <w:r>
        <w:rPr>
          <w:rFonts w:ascii="Tahoma" w:hAnsi="Tahoma" w:cs="Tahoma"/>
          <w:sz w:val="24"/>
          <w:szCs w:val="24"/>
          <w:lang w:val="it-IT"/>
        </w:rPr>
        <w:t>rende più gravi</w:t>
      </w:r>
      <w:r w:rsidR="0022588B" w:rsidRPr="004E6B03">
        <w:rPr>
          <w:rFonts w:ascii="Tahoma" w:hAnsi="Tahoma" w:cs="Tahoma"/>
          <w:sz w:val="24"/>
          <w:szCs w:val="24"/>
          <w:lang w:val="it-IT"/>
        </w:rPr>
        <w:t xml:space="preserve"> i problemi di produttività</w:t>
      </w:r>
      <w:r w:rsidR="00421C5F">
        <w:rPr>
          <w:rFonts w:ascii="Tahoma" w:hAnsi="Tahoma" w:cs="Tahoma"/>
          <w:sz w:val="24"/>
          <w:szCs w:val="24"/>
          <w:lang w:val="it-IT"/>
        </w:rPr>
        <w:t>,</w:t>
      </w:r>
      <w:r w:rsidR="0022588B" w:rsidRPr="004E6B03">
        <w:rPr>
          <w:rFonts w:ascii="Tahoma" w:hAnsi="Tahoma" w:cs="Tahoma"/>
          <w:sz w:val="24"/>
          <w:szCs w:val="24"/>
          <w:lang w:val="it-IT"/>
        </w:rPr>
        <w:t xml:space="preserve"> indebolendo gli investimenti aziendali, in particolare nelle transizioni green e digitale. </w:t>
      </w:r>
      <w:r w:rsidR="00421C5F">
        <w:rPr>
          <w:rFonts w:ascii="Tahoma" w:hAnsi="Tahoma" w:cs="Tahoma"/>
          <w:sz w:val="24"/>
          <w:szCs w:val="24"/>
          <w:lang w:val="it-IT"/>
        </w:rPr>
        <w:t xml:space="preserve">Più in generale prezzi dell’elettricità elevati </w:t>
      </w:r>
      <w:r>
        <w:rPr>
          <w:rFonts w:ascii="Tahoma" w:hAnsi="Tahoma" w:cs="Tahoma"/>
          <w:sz w:val="24"/>
          <w:szCs w:val="24"/>
          <w:lang w:val="it-IT"/>
        </w:rPr>
        <w:t xml:space="preserve">non sono considerati </w:t>
      </w:r>
      <w:r w:rsidR="00421C5F">
        <w:rPr>
          <w:rFonts w:ascii="Tahoma" w:hAnsi="Tahoma" w:cs="Tahoma"/>
          <w:sz w:val="24"/>
          <w:szCs w:val="24"/>
          <w:lang w:val="it-IT"/>
        </w:rPr>
        <w:t>sostenibil</w:t>
      </w:r>
      <w:r>
        <w:rPr>
          <w:rFonts w:ascii="Tahoma" w:hAnsi="Tahoma" w:cs="Tahoma"/>
          <w:sz w:val="24"/>
          <w:szCs w:val="24"/>
          <w:lang w:val="it-IT"/>
        </w:rPr>
        <w:t>i</w:t>
      </w:r>
      <w:r w:rsidR="00421C5F">
        <w:rPr>
          <w:rFonts w:ascii="Tahoma" w:hAnsi="Tahoma" w:cs="Tahoma"/>
          <w:sz w:val="24"/>
          <w:szCs w:val="24"/>
          <w:lang w:val="it-IT"/>
        </w:rPr>
        <w:t xml:space="preserve"> per l’economia nel lungo periodo.  </w:t>
      </w:r>
      <w:r w:rsidR="0022588B" w:rsidRPr="004E6B03">
        <w:rPr>
          <w:rFonts w:ascii="Tahoma" w:hAnsi="Tahoma" w:cs="Tahoma"/>
          <w:sz w:val="24"/>
          <w:szCs w:val="24"/>
          <w:lang w:val="it-IT"/>
        </w:rPr>
        <w:t xml:space="preserve">Il </w:t>
      </w:r>
      <w:r w:rsidR="00290709">
        <w:rPr>
          <w:rFonts w:ascii="Tahoma" w:hAnsi="Tahoma" w:cs="Tahoma"/>
          <w:sz w:val="24"/>
          <w:szCs w:val="24"/>
          <w:lang w:val="it-IT"/>
        </w:rPr>
        <w:t>G</w:t>
      </w:r>
      <w:r w:rsidR="0022588B" w:rsidRPr="004E6B03">
        <w:rPr>
          <w:rFonts w:ascii="Tahoma" w:hAnsi="Tahoma" w:cs="Tahoma"/>
          <w:sz w:val="24"/>
          <w:szCs w:val="24"/>
          <w:lang w:val="it-IT"/>
        </w:rPr>
        <w:t>overno neozelandese</w:t>
      </w:r>
      <w:r>
        <w:rPr>
          <w:rFonts w:ascii="Tahoma" w:hAnsi="Tahoma" w:cs="Tahoma"/>
          <w:sz w:val="24"/>
          <w:szCs w:val="24"/>
          <w:lang w:val="it-IT"/>
        </w:rPr>
        <w:t>,</w:t>
      </w:r>
      <w:r w:rsidR="0022588B" w:rsidRPr="004E6B03">
        <w:rPr>
          <w:rFonts w:ascii="Tahoma" w:hAnsi="Tahoma" w:cs="Tahoma"/>
          <w:sz w:val="24"/>
          <w:szCs w:val="24"/>
          <w:lang w:val="it-IT"/>
        </w:rPr>
        <w:t xml:space="preserve"> insieme agli enti regolatori preposti, ha avviato </w:t>
      </w:r>
      <w:r w:rsidR="00421C5F">
        <w:rPr>
          <w:rFonts w:ascii="Tahoma" w:hAnsi="Tahoma" w:cs="Tahoma"/>
          <w:sz w:val="24"/>
          <w:szCs w:val="24"/>
          <w:lang w:val="it-IT"/>
        </w:rPr>
        <w:t>una</w:t>
      </w:r>
      <w:r w:rsidR="0022588B" w:rsidRPr="004E6B03">
        <w:rPr>
          <w:rFonts w:ascii="Tahoma" w:hAnsi="Tahoma" w:cs="Tahoma"/>
          <w:sz w:val="24"/>
          <w:szCs w:val="24"/>
          <w:lang w:val="it-IT"/>
        </w:rPr>
        <w:t xml:space="preserve"> revision</w:t>
      </w:r>
      <w:r w:rsidR="00421C5F">
        <w:rPr>
          <w:rFonts w:ascii="Tahoma" w:hAnsi="Tahoma" w:cs="Tahoma"/>
          <w:sz w:val="24"/>
          <w:szCs w:val="24"/>
          <w:lang w:val="it-IT"/>
        </w:rPr>
        <w:t xml:space="preserve">e </w:t>
      </w:r>
      <w:r w:rsidR="0022588B" w:rsidRPr="004E6B03">
        <w:rPr>
          <w:rFonts w:ascii="Tahoma" w:hAnsi="Tahoma" w:cs="Tahoma"/>
          <w:sz w:val="24"/>
          <w:szCs w:val="24"/>
          <w:lang w:val="it-IT"/>
        </w:rPr>
        <w:t xml:space="preserve">del mercato </w:t>
      </w:r>
      <w:r w:rsidR="00421C5F">
        <w:rPr>
          <w:rFonts w:ascii="Tahoma" w:hAnsi="Tahoma" w:cs="Tahoma"/>
          <w:sz w:val="24"/>
          <w:szCs w:val="24"/>
          <w:lang w:val="it-IT"/>
        </w:rPr>
        <w:t>dell’elettricità</w:t>
      </w:r>
      <w:r w:rsidR="0022588B" w:rsidRPr="004E6B03">
        <w:rPr>
          <w:rFonts w:ascii="Tahoma" w:hAnsi="Tahoma" w:cs="Tahoma"/>
          <w:sz w:val="24"/>
          <w:szCs w:val="24"/>
          <w:lang w:val="it-IT"/>
        </w:rPr>
        <w:t xml:space="preserve">. </w:t>
      </w:r>
    </w:p>
    <w:p w14:paraId="72E5ECF1" w14:textId="03834FFB" w:rsidR="00E84038" w:rsidRDefault="00E84038" w:rsidP="00817E8E">
      <w:pPr>
        <w:widowControl w:val="0"/>
        <w:autoSpaceDE w:val="0"/>
        <w:autoSpaceDN w:val="0"/>
        <w:spacing w:before="0" w:after="0" w:line="360" w:lineRule="auto"/>
        <w:contextualSpacing/>
        <w:rPr>
          <w:rFonts w:ascii="Tahoma" w:hAnsi="Tahoma" w:cs="Tahoma"/>
          <w:b/>
          <w:bCs/>
          <w:color w:val="215C8A"/>
          <w:spacing w:val="-6"/>
          <w:sz w:val="24"/>
          <w:szCs w:val="24"/>
          <w:lang w:val="it-IT"/>
        </w:rPr>
      </w:pPr>
    </w:p>
    <w:p w14:paraId="5F9FF246" w14:textId="77777777" w:rsidR="00817E8E" w:rsidRPr="004E6B03" w:rsidRDefault="00817E8E" w:rsidP="00817E8E">
      <w:pPr>
        <w:widowControl w:val="0"/>
        <w:autoSpaceDE w:val="0"/>
        <w:autoSpaceDN w:val="0"/>
        <w:spacing w:before="0" w:after="0" w:line="360" w:lineRule="auto"/>
        <w:contextualSpacing/>
        <w:rPr>
          <w:rFonts w:ascii="Tahoma" w:hAnsi="Tahoma" w:cs="Tahoma"/>
          <w:b/>
          <w:bCs/>
          <w:color w:val="215C8A"/>
          <w:spacing w:val="-6"/>
          <w:sz w:val="24"/>
          <w:szCs w:val="24"/>
          <w:lang w:val="it-IT"/>
        </w:rPr>
      </w:pPr>
    </w:p>
    <w:p w14:paraId="4D283FB0" w14:textId="27F62BBF" w:rsidR="00D30F06" w:rsidRPr="004E6B03" w:rsidRDefault="005B4556"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sidRPr="004E6B03">
        <w:rPr>
          <w:rFonts w:ascii="Tahoma" w:hAnsi="Tahoma" w:cs="Tahoma"/>
          <w:b/>
          <w:bCs/>
          <w:color w:val="215C8A"/>
          <w:spacing w:val="-6"/>
          <w:sz w:val="24"/>
          <w:szCs w:val="24"/>
          <w:lang w:val="it-IT"/>
        </w:rPr>
        <w:t>2.</w:t>
      </w:r>
      <w:r w:rsidR="00E84038" w:rsidRPr="004E6B03">
        <w:rPr>
          <w:rFonts w:ascii="Tahoma" w:hAnsi="Tahoma" w:cs="Tahoma"/>
          <w:b/>
          <w:bCs/>
          <w:color w:val="215C8A"/>
          <w:spacing w:val="-6"/>
          <w:sz w:val="24"/>
          <w:szCs w:val="24"/>
          <w:lang w:val="it-IT"/>
        </w:rPr>
        <w:t xml:space="preserve">4. </w:t>
      </w:r>
      <w:r w:rsidRPr="004E6B03">
        <w:rPr>
          <w:rFonts w:ascii="Tahoma" w:hAnsi="Tahoma" w:cs="Tahoma"/>
          <w:b/>
          <w:bCs/>
          <w:color w:val="215C8A"/>
          <w:spacing w:val="-6"/>
          <w:sz w:val="24"/>
          <w:szCs w:val="24"/>
          <w:lang w:val="it-IT"/>
        </w:rPr>
        <w:t xml:space="preserve"> </w:t>
      </w:r>
      <w:r w:rsidR="00D30F06" w:rsidRPr="004E6B03">
        <w:rPr>
          <w:rFonts w:ascii="Tahoma" w:hAnsi="Tahoma" w:cs="Tahoma"/>
          <w:b/>
          <w:bCs/>
          <w:color w:val="215C8A"/>
          <w:spacing w:val="-6"/>
          <w:sz w:val="24"/>
          <w:szCs w:val="24"/>
          <w:lang w:val="it-IT"/>
        </w:rPr>
        <w:t>POLITICA ECONOMICA</w:t>
      </w:r>
    </w:p>
    <w:p w14:paraId="448459E1" w14:textId="638FB624" w:rsidR="00F123AE" w:rsidRPr="004E6B03" w:rsidRDefault="00786D46"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sidRPr="004E6B03">
        <w:rPr>
          <w:rFonts w:ascii="Tahoma" w:hAnsi="Tahoma" w:cs="Tahoma"/>
          <w:color w:val="19191A"/>
          <w:sz w:val="24"/>
          <w:szCs w:val="24"/>
          <w:shd w:val="clear" w:color="auto" w:fill="FFFFFF"/>
          <w:lang w:val="it-IT"/>
        </w:rPr>
        <w:t>L’economia neozelandese è fortemente dipendente dal commercio</w:t>
      </w:r>
      <w:r w:rsidR="00CE1762">
        <w:rPr>
          <w:rFonts w:ascii="Tahoma" w:hAnsi="Tahoma" w:cs="Tahoma"/>
          <w:color w:val="19191A"/>
          <w:sz w:val="24"/>
          <w:szCs w:val="24"/>
          <w:shd w:val="clear" w:color="auto" w:fill="FFFFFF"/>
          <w:lang w:val="it-IT"/>
        </w:rPr>
        <w:t>,</w:t>
      </w:r>
      <w:r w:rsidRPr="004E6B03">
        <w:rPr>
          <w:rFonts w:ascii="Tahoma" w:hAnsi="Tahoma" w:cs="Tahoma"/>
          <w:color w:val="19191A"/>
          <w:sz w:val="24"/>
          <w:szCs w:val="24"/>
          <w:shd w:val="clear" w:color="auto" w:fill="FFFFFF"/>
          <w:lang w:val="it-IT"/>
        </w:rPr>
        <w:t xml:space="preserve"> ma al contempo distante dai mercati di esportazione</w:t>
      </w:r>
      <w:r w:rsidR="001A7741">
        <w:rPr>
          <w:rFonts w:ascii="Tahoma" w:hAnsi="Tahoma" w:cs="Tahoma"/>
          <w:color w:val="19191A"/>
          <w:sz w:val="24"/>
          <w:szCs w:val="24"/>
          <w:shd w:val="clear" w:color="auto" w:fill="FFFFFF"/>
          <w:lang w:val="it-IT"/>
        </w:rPr>
        <w:t xml:space="preserve">: la Nuova Zelanda è quindi un tradizionale </w:t>
      </w:r>
      <w:r w:rsidR="00CE1762">
        <w:rPr>
          <w:rFonts w:ascii="Tahoma" w:hAnsi="Tahoma" w:cs="Tahoma"/>
          <w:color w:val="19191A"/>
          <w:sz w:val="24"/>
          <w:szCs w:val="24"/>
          <w:shd w:val="clear" w:color="auto" w:fill="FFFFFF"/>
          <w:lang w:val="it-IT"/>
        </w:rPr>
        <w:t xml:space="preserve">strenuo </w:t>
      </w:r>
      <w:r w:rsidR="001A7741">
        <w:rPr>
          <w:rFonts w:ascii="Tahoma" w:hAnsi="Tahoma" w:cs="Tahoma"/>
          <w:color w:val="19191A"/>
          <w:sz w:val="24"/>
          <w:szCs w:val="24"/>
          <w:shd w:val="clear" w:color="auto" w:fill="FFFFFF"/>
          <w:lang w:val="it-IT"/>
        </w:rPr>
        <w:t>sostenitore dei principi del libero scambio.</w:t>
      </w:r>
    </w:p>
    <w:p w14:paraId="63B6E652" w14:textId="6303BC72" w:rsidR="00BD57F5" w:rsidRPr="004E6B03" w:rsidRDefault="00D30F06"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sidRPr="004E6B03">
        <w:rPr>
          <w:rFonts w:ascii="Tahoma" w:hAnsi="Tahoma" w:cs="Tahoma"/>
          <w:color w:val="19191A"/>
          <w:sz w:val="24"/>
          <w:szCs w:val="24"/>
          <w:shd w:val="clear" w:color="auto" w:fill="FFFFFF"/>
          <w:lang w:val="it-IT"/>
        </w:rPr>
        <w:t xml:space="preserve">Le esportazioni sono un fattore determinante per la crescita dell’economia e rappresentano una percentuale consistente del suo PIL. </w:t>
      </w:r>
    </w:p>
    <w:p w14:paraId="419CF01F" w14:textId="3B2BBC42" w:rsidR="00F123AE" w:rsidRPr="004E6B03" w:rsidRDefault="00D30F06"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sidRPr="004E6B03">
        <w:rPr>
          <w:rFonts w:ascii="Tahoma" w:hAnsi="Tahoma" w:cs="Tahoma"/>
          <w:color w:val="19191A"/>
          <w:sz w:val="24"/>
          <w:szCs w:val="24"/>
          <w:shd w:val="clear" w:color="auto" w:fill="FFFFFF"/>
          <w:lang w:val="it-IT"/>
        </w:rPr>
        <w:t>L</w:t>
      </w:r>
      <w:r w:rsidR="005755C9">
        <w:rPr>
          <w:rFonts w:ascii="Tahoma" w:hAnsi="Tahoma" w:cs="Tahoma"/>
          <w:color w:val="19191A"/>
          <w:sz w:val="24"/>
          <w:szCs w:val="24"/>
          <w:shd w:val="clear" w:color="auto" w:fill="FFFFFF"/>
          <w:lang w:val="it-IT"/>
        </w:rPr>
        <w:t>e</w:t>
      </w:r>
      <w:r w:rsidRPr="004E6B03">
        <w:rPr>
          <w:rFonts w:ascii="Tahoma" w:hAnsi="Tahoma" w:cs="Tahoma"/>
          <w:color w:val="19191A"/>
          <w:sz w:val="24"/>
          <w:szCs w:val="24"/>
          <w:shd w:val="clear" w:color="auto" w:fill="FFFFFF"/>
          <w:lang w:val="it-IT"/>
        </w:rPr>
        <w:t xml:space="preserve"> dimension</w:t>
      </w:r>
      <w:r w:rsidR="005755C9">
        <w:rPr>
          <w:rFonts w:ascii="Tahoma" w:hAnsi="Tahoma" w:cs="Tahoma"/>
          <w:color w:val="19191A"/>
          <w:sz w:val="24"/>
          <w:szCs w:val="24"/>
          <w:shd w:val="clear" w:color="auto" w:fill="FFFFFF"/>
          <w:lang w:val="it-IT"/>
        </w:rPr>
        <w:t>i</w:t>
      </w:r>
      <w:r w:rsidRPr="004E6B03">
        <w:rPr>
          <w:rFonts w:ascii="Tahoma" w:hAnsi="Tahoma" w:cs="Tahoma"/>
          <w:color w:val="19191A"/>
          <w:sz w:val="24"/>
          <w:szCs w:val="24"/>
          <w:shd w:val="clear" w:color="auto" w:fill="FFFFFF"/>
          <w:lang w:val="it-IT"/>
        </w:rPr>
        <w:t xml:space="preserve"> relativamente piccol</w:t>
      </w:r>
      <w:r w:rsidR="005755C9">
        <w:rPr>
          <w:rFonts w:ascii="Tahoma" w:hAnsi="Tahoma" w:cs="Tahoma"/>
          <w:color w:val="19191A"/>
          <w:sz w:val="24"/>
          <w:szCs w:val="24"/>
          <w:shd w:val="clear" w:color="auto" w:fill="FFFFFF"/>
          <w:lang w:val="it-IT"/>
        </w:rPr>
        <w:t>e</w:t>
      </w:r>
      <w:r w:rsidRPr="004E6B03">
        <w:rPr>
          <w:rFonts w:ascii="Tahoma" w:hAnsi="Tahoma" w:cs="Tahoma"/>
          <w:color w:val="19191A"/>
          <w:sz w:val="24"/>
          <w:szCs w:val="24"/>
          <w:shd w:val="clear" w:color="auto" w:fill="FFFFFF"/>
          <w:lang w:val="it-IT"/>
        </w:rPr>
        <w:t xml:space="preserve"> del mercato interno </w:t>
      </w:r>
      <w:r w:rsidR="00BD57F5" w:rsidRPr="004E6B03">
        <w:rPr>
          <w:rFonts w:ascii="Tahoma" w:hAnsi="Tahoma" w:cs="Tahoma"/>
          <w:color w:val="19191A"/>
          <w:sz w:val="24"/>
          <w:szCs w:val="24"/>
          <w:shd w:val="clear" w:color="auto" w:fill="FFFFFF"/>
          <w:lang w:val="it-IT"/>
        </w:rPr>
        <w:t xml:space="preserve">(5.3 milioni di abitanti) </w:t>
      </w:r>
      <w:r w:rsidRPr="004E6B03">
        <w:rPr>
          <w:rFonts w:ascii="Tahoma" w:hAnsi="Tahoma" w:cs="Tahoma"/>
          <w:color w:val="19191A"/>
          <w:sz w:val="24"/>
          <w:szCs w:val="24"/>
          <w:shd w:val="clear" w:color="auto" w:fill="FFFFFF"/>
          <w:lang w:val="it-IT"/>
        </w:rPr>
        <w:t>impon</w:t>
      </w:r>
      <w:r w:rsidR="005755C9">
        <w:rPr>
          <w:rFonts w:ascii="Tahoma" w:hAnsi="Tahoma" w:cs="Tahoma"/>
          <w:color w:val="19191A"/>
          <w:sz w:val="24"/>
          <w:szCs w:val="24"/>
          <w:shd w:val="clear" w:color="auto" w:fill="FFFFFF"/>
          <w:lang w:val="it-IT"/>
        </w:rPr>
        <w:t>gono</w:t>
      </w:r>
      <w:r w:rsidRPr="004E6B03">
        <w:rPr>
          <w:rFonts w:ascii="Tahoma" w:hAnsi="Tahoma" w:cs="Tahoma"/>
          <w:color w:val="19191A"/>
          <w:sz w:val="24"/>
          <w:szCs w:val="24"/>
          <w:shd w:val="clear" w:color="auto" w:fill="FFFFFF"/>
          <w:lang w:val="it-IT"/>
        </w:rPr>
        <w:t xml:space="preserve"> </w:t>
      </w:r>
      <w:r w:rsidR="00CF7775" w:rsidRPr="004E6B03">
        <w:rPr>
          <w:rFonts w:ascii="Tahoma" w:hAnsi="Tahoma" w:cs="Tahoma"/>
          <w:color w:val="19191A"/>
          <w:sz w:val="24"/>
          <w:szCs w:val="24"/>
          <w:shd w:val="clear" w:color="auto" w:fill="FFFFFF"/>
          <w:lang w:val="it-IT"/>
        </w:rPr>
        <w:t>l’esportazione</w:t>
      </w:r>
      <w:r w:rsidRPr="004E6B03">
        <w:rPr>
          <w:rFonts w:ascii="Tahoma" w:hAnsi="Tahoma" w:cs="Tahoma"/>
          <w:color w:val="19191A"/>
          <w:sz w:val="24"/>
          <w:szCs w:val="24"/>
          <w:shd w:val="clear" w:color="auto" w:fill="FFFFFF"/>
          <w:lang w:val="it-IT"/>
        </w:rPr>
        <w:t xml:space="preserve"> </w:t>
      </w:r>
      <w:r w:rsidR="00BD57F5" w:rsidRPr="004E6B03">
        <w:rPr>
          <w:rFonts w:ascii="Tahoma" w:hAnsi="Tahoma" w:cs="Tahoma"/>
          <w:color w:val="19191A"/>
          <w:sz w:val="24"/>
          <w:szCs w:val="24"/>
          <w:shd w:val="clear" w:color="auto" w:fill="FFFFFF"/>
          <w:lang w:val="it-IT"/>
        </w:rPr>
        <w:t>di buona parte di ciò che viene prodotto</w:t>
      </w:r>
      <w:r w:rsidRPr="004E6B03">
        <w:rPr>
          <w:rFonts w:ascii="Tahoma" w:hAnsi="Tahoma" w:cs="Tahoma"/>
          <w:color w:val="19191A"/>
          <w:sz w:val="24"/>
          <w:szCs w:val="24"/>
          <w:shd w:val="clear" w:color="auto" w:fill="FFFFFF"/>
          <w:lang w:val="it-IT"/>
        </w:rPr>
        <w:t xml:space="preserve"> e, di conseguenza, la politica commerciale neozelandese è orientata ad ottenere il massimo accesso ai mercati internazionali. </w:t>
      </w:r>
    </w:p>
    <w:p w14:paraId="5886D3A1" w14:textId="76E73C98" w:rsidR="00BD57F5" w:rsidRPr="004E6B03" w:rsidRDefault="00CE1762"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Pr>
          <w:rFonts w:ascii="Tahoma" w:hAnsi="Tahoma" w:cs="Tahoma"/>
          <w:color w:val="19191A"/>
          <w:sz w:val="24"/>
          <w:szCs w:val="24"/>
          <w:shd w:val="clear" w:color="auto" w:fill="FFFFFF"/>
          <w:lang w:val="it-IT"/>
        </w:rPr>
        <w:t>Su</w:t>
      </w:r>
      <w:r w:rsidR="00BD57F5" w:rsidRPr="004E6B03">
        <w:rPr>
          <w:rFonts w:ascii="Tahoma" w:hAnsi="Tahoma" w:cs="Tahoma"/>
          <w:color w:val="19191A"/>
          <w:sz w:val="24"/>
          <w:szCs w:val="24"/>
          <w:shd w:val="clear" w:color="auto" w:fill="FFFFFF"/>
          <w:lang w:val="it-IT"/>
        </w:rPr>
        <w:t xml:space="preserve">l sito del Ministry of Foreign Affairs and </w:t>
      </w:r>
      <w:r w:rsidR="00BD57F5" w:rsidRPr="003B0019">
        <w:rPr>
          <w:rFonts w:ascii="Tahoma" w:hAnsi="Tahoma" w:cs="Tahoma"/>
          <w:color w:val="19191A"/>
          <w:sz w:val="24"/>
          <w:szCs w:val="24"/>
          <w:shd w:val="clear" w:color="auto" w:fill="FFFFFF"/>
          <w:lang w:val="it-IT"/>
        </w:rPr>
        <w:t>Trade</w:t>
      </w:r>
      <w:r w:rsidR="005755C9" w:rsidRPr="003B0019">
        <w:rPr>
          <w:rFonts w:ascii="Tahoma" w:hAnsi="Tahoma" w:cs="Tahoma"/>
          <w:color w:val="19191A"/>
          <w:sz w:val="24"/>
          <w:szCs w:val="24"/>
          <w:shd w:val="clear" w:color="auto" w:fill="FFFFFF"/>
          <w:lang w:val="it-IT"/>
        </w:rPr>
        <w:t xml:space="preserve"> (</w:t>
      </w:r>
      <w:hyperlink r:id="rId26" w:history="1">
        <w:r w:rsidR="005755C9" w:rsidRPr="003B0019">
          <w:rPr>
            <w:rStyle w:val="Hyperlink"/>
            <w:rFonts w:ascii="Tahoma" w:hAnsi="Tahoma" w:cs="Tahoma"/>
            <w:sz w:val="24"/>
            <w:szCs w:val="24"/>
            <w:lang w:val="it-IT"/>
          </w:rPr>
          <w:t>Home | New Zealand Ministry of Foreign Affairs and Trade</w:t>
        </w:r>
      </w:hyperlink>
      <w:r w:rsidR="005755C9" w:rsidRPr="005755C9">
        <w:rPr>
          <w:lang w:val="it-IT"/>
        </w:rPr>
        <w:t>)</w:t>
      </w:r>
      <w:r w:rsidR="00BD57F5" w:rsidRPr="004E6B03">
        <w:rPr>
          <w:rFonts w:ascii="Tahoma" w:hAnsi="Tahoma" w:cs="Tahoma"/>
          <w:color w:val="19191A"/>
          <w:sz w:val="24"/>
          <w:szCs w:val="24"/>
          <w:shd w:val="clear" w:color="auto" w:fill="FFFFFF"/>
          <w:lang w:val="it-IT"/>
        </w:rPr>
        <w:t xml:space="preserve"> è possibile consultare la lista aggiornata di tutti </w:t>
      </w:r>
      <w:r w:rsidR="005755C9">
        <w:rPr>
          <w:rFonts w:ascii="Tahoma" w:hAnsi="Tahoma" w:cs="Tahoma"/>
          <w:color w:val="19191A"/>
          <w:sz w:val="24"/>
          <w:szCs w:val="24"/>
          <w:shd w:val="clear" w:color="auto" w:fill="FFFFFF"/>
          <w:lang w:val="it-IT"/>
        </w:rPr>
        <w:t xml:space="preserve">gli Accordi di Libero Scambio </w:t>
      </w:r>
      <w:r w:rsidR="00BD57F5" w:rsidRPr="004E6B03">
        <w:rPr>
          <w:rFonts w:ascii="Tahoma" w:hAnsi="Tahoma" w:cs="Tahoma"/>
          <w:color w:val="19191A"/>
          <w:sz w:val="24"/>
          <w:szCs w:val="24"/>
          <w:shd w:val="clear" w:color="auto" w:fill="FFFFFF"/>
          <w:lang w:val="it-IT"/>
        </w:rPr>
        <w:t xml:space="preserve">sottoscritti dalla Nuova Zelanda, siano essi già in </w:t>
      </w:r>
      <w:r w:rsidR="005755C9">
        <w:rPr>
          <w:rFonts w:ascii="Tahoma" w:hAnsi="Tahoma" w:cs="Tahoma"/>
          <w:color w:val="19191A"/>
          <w:sz w:val="24"/>
          <w:szCs w:val="24"/>
          <w:shd w:val="clear" w:color="auto" w:fill="FFFFFF"/>
          <w:lang w:val="it-IT"/>
        </w:rPr>
        <w:t>vigore</w:t>
      </w:r>
      <w:r w:rsidR="00BD57F5" w:rsidRPr="004E6B03">
        <w:rPr>
          <w:rFonts w:ascii="Tahoma" w:hAnsi="Tahoma" w:cs="Tahoma"/>
          <w:color w:val="19191A"/>
          <w:sz w:val="24"/>
          <w:szCs w:val="24"/>
          <w:shd w:val="clear" w:color="auto" w:fill="FFFFFF"/>
          <w:lang w:val="it-IT"/>
        </w:rPr>
        <w:t xml:space="preserve"> oppure no, e gli accordi ancora in fase di negoziazione.</w:t>
      </w:r>
    </w:p>
    <w:p w14:paraId="1C6E1A93" w14:textId="542799F9" w:rsidR="001B1415" w:rsidRPr="005755C9" w:rsidRDefault="00BD57F5"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sidRPr="004E6B03">
        <w:rPr>
          <w:rFonts w:ascii="Tahoma" w:hAnsi="Tahoma" w:cs="Tahoma"/>
          <w:color w:val="19191A"/>
          <w:sz w:val="24"/>
          <w:szCs w:val="24"/>
          <w:shd w:val="clear" w:color="auto" w:fill="FFFFFF"/>
          <w:lang w:val="it-IT"/>
        </w:rPr>
        <w:t xml:space="preserve">Nel 2022 è stato concluso </w:t>
      </w:r>
      <w:r w:rsidR="005755C9">
        <w:rPr>
          <w:rFonts w:ascii="Tahoma" w:hAnsi="Tahoma" w:cs="Tahoma"/>
          <w:color w:val="19191A"/>
          <w:sz w:val="24"/>
          <w:szCs w:val="24"/>
          <w:shd w:val="clear" w:color="auto" w:fill="FFFFFF"/>
          <w:lang w:val="it-IT"/>
        </w:rPr>
        <w:t xml:space="preserve">l’Accordo di Libero Scambio </w:t>
      </w:r>
      <w:r w:rsidRPr="004E6B03">
        <w:rPr>
          <w:rFonts w:ascii="Tahoma" w:hAnsi="Tahoma" w:cs="Tahoma"/>
          <w:color w:val="19191A"/>
          <w:sz w:val="24"/>
          <w:szCs w:val="24"/>
          <w:shd w:val="clear" w:color="auto" w:fill="FFFFFF"/>
          <w:lang w:val="it-IT"/>
        </w:rPr>
        <w:t>Unione Europea-Nuova Zelanda, entrato in vigore nel maggio 2024.</w:t>
      </w:r>
      <w:r w:rsidR="005755C9">
        <w:rPr>
          <w:rFonts w:ascii="Tahoma" w:hAnsi="Tahoma" w:cs="Tahoma"/>
          <w:color w:val="19191A"/>
          <w:sz w:val="24"/>
          <w:szCs w:val="24"/>
          <w:shd w:val="clear" w:color="auto" w:fill="FFFFFF"/>
          <w:lang w:val="it-IT"/>
        </w:rPr>
        <w:t xml:space="preserve"> </w:t>
      </w:r>
      <w:r w:rsidRPr="004E6B03">
        <w:rPr>
          <w:rFonts w:ascii="Tahoma" w:hAnsi="Tahoma" w:cs="Tahoma"/>
          <w:color w:val="19191A"/>
          <w:sz w:val="24"/>
          <w:szCs w:val="24"/>
          <w:shd w:val="clear" w:color="auto" w:fill="FFFFFF"/>
          <w:lang w:val="it-IT"/>
        </w:rPr>
        <w:t>L’eliminazione dei dazi consentirà alle imprese</w:t>
      </w:r>
      <w:r w:rsidR="00C22D64">
        <w:rPr>
          <w:rFonts w:ascii="Tahoma" w:hAnsi="Tahoma" w:cs="Tahoma"/>
          <w:color w:val="19191A"/>
          <w:sz w:val="24"/>
          <w:szCs w:val="24"/>
          <w:shd w:val="clear" w:color="auto" w:fill="FFFFFF"/>
          <w:lang w:val="it-IT"/>
        </w:rPr>
        <w:t xml:space="preserve"> coinvolte</w:t>
      </w:r>
      <w:r w:rsidRPr="004E6B03">
        <w:rPr>
          <w:rFonts w:ascii="Tahoma" w:hAnsi="Tahoma" w:cs="Tahoma"/>
          <w:color w:val="19191A"/>
          <w:sz w:val="24"/>
          <w:szCs w:val="24"/>
          <w:shd w:val="clear" w:color="auto" w:fill="FFFFFF"/>
          <w:lang w:val="it-IT"/>
        </w:rPr>
        <w:t xml:space="preserve"> un risparmio di 140 milioni di </w:t>
      </w:r>
      <w:r w:rsidR="005755C9">
        <w:rPr>
          <w:rFonts w:ascii="Tahoma" w:hAnsi="Tahoma" w:cs="Tahoma"/>
          <w:color w:val="19191A"/>
          <w:sz w:val="24"/>
          <w:szCs w:val="24"/>
          <w:shd w:val="clear" w:color="auto" w:fill="FFFFFF"/>
          <w:lang w:val="it-IT"/>
        </w:rPr>
        <w:t>E</w:t>
      </w:r>
      <w:r w:rsidRPr="004E6B03">
        <w:rPr>
          <w:rFonts w:ascii="Tahoma" w:hAnsi="Tahoma" w:cs="Tahoma"/>
          <w:color w:val="19191A"/>
          <w:sz w:val="24"/>
          <w:szCs w:val="24"/>
          <w:shd w:val="clear" w:color="auto" w:fill="FFFFFF"/>
          <w:lang w:val="it-IT"/>
        </w:rPr>
        <w:t>uro</w:t>
      </w:r>
      <w:r w:rsidR="00B07240" w:rsidRPr="004E6B03">
        <w:rPr>
          <w:rFonts w:ascii="Tahoma" w:hAnsi="Tahoma" w:cs="Tahoma"/>
          <w:color w:val="19191A"/>
          <w:sz w:val="24"/>
          <w:szCs w:val="24"/>
          <w:shd w:val="clear" w:color="auto" w:fill="FFFFFF"/>
          <w:lang w:val="it-IT"/>
        </w:rPr>
        <w:t xml:space="preserve"> l’anno</w:t>
      </w:r>
      <w:r w:rsidR="002128D8">
        <w:rPr>
          <w:rFonts w:ascii="Tahoma" w:hAnsi="Tahoma" w:cs="Tahoma"/>
          <w:color w:val="19191A"/>
          <w:sz w:val="24"/>
          <w:szCs w:val="24"/>
          <w:shd w:val="clear" w:color="auto" w:fill="FFFFFF"/>
          <w:lang w:val="it-IT"/>
        </w:rPr>
        <w:t xml:space="preserve">, </w:t>
      </w:r>
      <w:r w:rsidR="005755C9">
        <w:rPr>
          <w:rFonts w:ascii="Tahoma" w:hAnsi="Tahoma" w:cs="Tahoma"/>
          <w:color w:val="19191A"/>
          <w:sz w:val="24"/>
          <w:szCs w:val="24"/>
          <w:shd w:val="clear" w:color="auto" w:fill="FFFFFF"/>
          <w:lang w:val="it-IT"/>
        </w:rPr>
        <w:t>con una previsione di</w:t>
      </w:r>
      <w:r w:rsidRPr="004E6B03">
        <w:rPr>
          <w:rFonts w:ascii="Tahoma" w:hAnsi="Tahoma" w:cs="Tahoma"/>
          <w:color w:val="19191A"/>
          <w:sz w:val="24"/>
          <w:szCs w:val="24"/>
          <w:shd w:val="clear" w:color="auto" w:fill="FFFFFF"/>
          <w:lang w:val="it-IT"/>
        </w:rPr>
        <w:t xml:space="preserve"> crescita del commercio</w:t>
      </w:r>
      <w:r w:rsidR="00C22D64">
        <w:rPr>
          <w:rFonts w:ascii="Tahoma" w:hAnsi="Tahoma" w:cs="Tahoma"/>
          <w:color w:val="19191A"/>
          <w:sz w:val="24"/>
          <w:szCs w:val="24"/>
          <w:shd w:val="clear" w:color="auto" w:fill="FFFFFF"/>
          <w:lang w:val="it-IT"/>
        </w:rPr>
        <w:t xml:space="preserve"> UE-Nuova Zelanda</w:t>
      </w:r>
      <w:r w:rsidRPr="004E6B03">
        <w:rPr>
          <w:rFonts w:ascii="Tahoma" w:hAnsi="Tahoma" w:cs="Tahoma"/>
          <w:color w:val="19191A"/>
          <w:sz w:val="24"/>
          <w:szCs w:val="24"/>
          <w:shd w:val="clear" w:color="auto" w:fill="FFFFFF"/>
          <w:lang w:val="it-IT"/>
        </w:rPr>
        <w:t xml:space="preserve"> fino al 30% nell’arco di 10 anni. </w:t>
      </w:r>
    </w:p>
    <w:p w14:paraId="5175A7A5" w14:textId="29AD485F" w:rsidR="00CA4186" w:rsidRDefault="00CA4186"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77BE3FC5" w14:textId="7204E440" w:rsidR="00CA4186" w:rsidRDefault="00CA4186"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40B56D40" w14:textId="0B2D0FCA" w:rsidR="00E77658" w:rsidRDefault="00E77658"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5AC35C32" w14:textId="200C8470" w:rsidR="00E77658" w:rsidRDefault="00E77658"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1B4181D9" w14:textId="77777777" w:rsidR="00CE1762" w:rsidRPr="004E6B03" w:rsidRDefault="00CE1762"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5FF26565" w14:textId="6193E0FF" w:rsidR="00E84038" w:rsidRPr="004E6B03" w:rsidRDefault="00E84038" w:rsidP="00817E8E">
      <w:pPr>
        <w:pStyle w:val="NormalWeb"/>
        <w:numPr>
          <w:ilvl w:val="1"/>
          <w:numId w:val="29"/>
        </w:numPr>
        <w:shd w:val="clear" w:color="auto" w:fill="FFFFFF"/>
        <w:spacing w:before="0" w:beforeAutospacing="0" w:line="360" w:lineRule="auto"/>
        <w:contextualSpacing/>
        <w:jc w:val="both"/>
        <w:rPr>
          <w:rFonts w:ascii="Tahoma" w:hAnsi="Tahoma" w:cs="Tahoma"/>
          <w:b/>
          <w:bCs/>
          <w:color w:val="215C8A"/>
          <w:spacing w:val="-6"/>
          <w:lang w:val="it-IT"/>
        </w:rPr>
      </w:pPr>
      <w:r w:rsidRPr="004E6B03">
        <w:rPr>
          <w:rFonts w:ascii="Tahoma" w:hAnsi="Tahoma" w:cs="Tahoma"/>
          <w:b/>
          <w:bCs/>
          <w:color w:val="215C8A"/>
          <w:spacing w:val="-6"/>
          <w:lang w:val="it-IT"/>
        </w:rPr>
        <w:lastRenderedPageBreak/>
        <w:t>POLITICA MONETARIA</w:t>
      </w:r>
    </w:p>
    <w:p w14:paraId="49FEADF2" w14:textId="37149AF4" w:rsidR="00F123AE" w:rsidRPr="004E6B03" w:rsidRDefault="00E8403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La Banca Nazionale (Reserve Bank of New Zealand) vigila sul sistema bancario neozelandese</w:t>
      </w:r>
      <w:r w:rsidR="005755C9">
        <w:rPr>
          <w:rFonts w:ascii="Tahoma" w:hAnsi="Tahoma" w:cs="Tahoma"/>
          <w:color w:val="19191A"/>
          <w:lang w:val="it-IT"/>
        </w:rPr>
        <w:t>. L</w:t>
      </w:r>
      <w:r w:rsidRPr="004E6B03">
        <w:rPr>
          <w:rFonts w:ascii="Tahoma" w:hAnsi="Tahoma" w:cs="Tahoma"/>
          <w:color w:val="19191A"/>
          <w:lang w:val="it-IT"/>
        </w:rPr>
        <w:t>a sua funzione principale è d</w:t>
      </w:r>
      <w:r w:rsidR="005755C9">
        <w:rPr>
          <w:rFonts w:ascii="Tahoma" w:hAnsi="Tahoma" w:cs="Tahoma"/>
          <w:color w:val="19191A"/>
          <w:lang w:val="it-IT"/>
        </w:rPr>
        <w:t>ecidere</w:t>
      </w:r>
      <w:r w:rsidRPr="004E6B03">
        <w:rPr>
          <w:rFonts w:ascii="Tahoma" w:hAnsi="Tahoma" w:cs="Tahoma"/>
          <w:color w:val="19191A"/>
          <w:lang w:val="it-IT"/>
        </w:rPr>
        <w:t xml:space="preserve"> la politica monetaria e mantenere la stabilità finanziaria, oltre ad occuparsi della registrazione e supervisione degli istituti </w:t>
      </w:r>
      <w:r w:rsidR="00CE1762">
        <w:rPr>
          <w:rFonts w:ascii="Tahoma" w:hAnsi="Tahoma" w:cs="Tahoma"/>
          <w:color w:val="19191A"/>
          <w:lang w:val="it-IT"/>
        </w:rPr>
        <w:t xml:space="preserve">di credito. </w:t>
      </w:r>
    </w:p>
    <w:p w14:paraId="2F7C3BC9" w14:textId="133B6DA0" w:rsidR="00F123AE" w:rsidRDefault="00E8403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La politica monetaria della Banca, definita dal Policy Target Agreement con il </w:t>
      </w:r>
      <w:r w:rsidR="00740027">
        <w:rPr>
          <w:rFonts w:ascii="Tahoma" w:hAnsi="Tahoma" w:cs="Tahoma"/>
          <w:color w:val="19191A"/>
          <w:lang w:val="it-IT"/>
        </w:rPr>
        <w:t>G</w:t>
      </w:r>
      <w:r w:rsidRPr="004E6B03">
        <w:rPr>
          <w:rFonts w:ascii="Tahoma" w:hAnsi="Tahoma" w:cs="Tahoma"/>
          <w:color w:val="19191A"/>
          <w:lang w:val="it-IT"/>
        </w:rPr>
        <w:t xml:space="preserve">overno, è </w:t>
      </w:r>
      <w:r w:rsidR="00ED1D58">
        <w:rPr>
          <w:rFonts w:ascii="Tahoma" w:hAnsi="Tahoma" w:cs="Tahoma"/>
          <w:color w:val="19191A"/>
          <w:lang w:val="it-IT"/>
        </w:rPr>
        <w:t xml:space="preserve">focalizzata </w:t>
      </w:r>
      <w:r w:rsidRPr="004E6B03">
        <w:rPr>
          <w:rFonts w:ascii="Tahoma" w:hAnsi="Tahoma" w:cs="Tahoma"/>
          <w:color w:val="19191A"/>
          <w:lang w:val="it-IT"/>
        </w:rPr>
        <w:t xml:space="preserve">principalmente </w:t>
      </w:r>
      <w:r w:rsidR="00ED1D58">
        <w:rPr>
          <w:rFonts w:ascii="Tahoma" w:hAnsi="Tahoma" w:cs="Tahoma"/>
          <w:color w:val="19191A"/>
          <w:lang w:val="it-IT"/>
        </w:rPr>
        <w:t xml:space="preserve">a </w:t>
      </w:r>
      <w:r w:rsidRPr="004E6B03">
        <w:rPr>
          <w:rFonts w:ascii="Tahoma" w:hAnsi="Tahoma" w:cs="Tahoma"/>
          <w:color w:val="19191A"/>
          <w:lang w:val="it-IT"/>
        </w:rPr>
        <w:t>mantenere l'inflazione compresa tra 1 e 3</w:t>
      </w:r>
      <w:r w:rsidR="001E3FA9">
        <w:rPr>
          <w:rFonts w:ascii="Tahoma" w:hAnsi="Tahoma" w:cs="Tahoma"/>
          <w:color w:val="19191A"/>
          <w:lang w:val="it-IT"/>
        </w:rPr>
        <w:t xml:space="preserve">% </w:t>
      </w:r>
      <w:r w:rsidRPr="004E6B03">
        <w:rPr>
          <w:rFonts w:ascii="Tahoma" w:hAnsi="Tahoma" w:cs="Tahoma"/>
          <w:color w:val="19191A"/>
          <w:lang w:val="it-IT"/>
        </w:rPr>
        <w:t>in media nel medio termine.</w:t>
      </w:r>
    </w:p>
    <w:p w14:paraId="732628E0" w14:textId="77777777" w:rsidR="005755C9" w:rsidRPr="004E6B03" w:rsidRDefault="005755C9" w:rsidP="00817E8E">
      <w:pPr>
        <w:pStyle w:val="NormalWeb"/>
        <w:shd w:val="clear" w:color="auto" w:fill="FFFFFF"/>
        <w:spacing w:before="0" w:beforeAutospacing="0" w:line="360" w:lineRule="auto"/>
        <w:contextualSpacing/>
        <w:jc w:val="both"/>
        <w:rPr>
          <w:rFonts w:ascii="Tahoma" w:hAnsi="Tahoma" w:cs="Tahoma"/>
          <w:color w:val="19191A"/>
          <w:lang w:val="it-IT"/>
        </w:rPr>
      </w:pPr>
    </w:p>
    <w:p w14:paraId="02C12E89" w14:textId="750673F0" w:rsidR="00100210" w:rsidRPr="004E6B03" w:rsidRDefault="00100210" w:rsidP="00817E8E">
      <w:pPr>
        <w:widowControl w:val="0"/>
        <w:autoSpaceDE w:val="0"/>
        <w:autoSpaceDN w:val="0"/>
        <w:spacing w:before="0" w:after="0" w:line="360" w:lineRule="auto"/>
        <w:contextualSpacing/>
        <w:rPr>
          <w:rFonts w:ascii="Tahoma" w:hAnsi="Tahoma" w:cs="Tahoma"/>
          <w:color w:val="19191A"/>
          <w:sz w:val="24"/>
          <w:szCs w:val="24"/>
          <w:shd w:val="clear" w:color="auto" w:fill="FFFFFF"/>
          <w:lang w:val="it-IT"/>
        </w:rPr>
      </w:pPr>
      <w:r w:rsidRPr="004E6B03">
        <w:rPr>
          <w:rFonts w:ascii="Tahoma" w:hAnsi="Tahoma" w:cs="Tahoma"/>
          <w:b/>
          <w:bCs/>
          <w:color w:val="215C8A"/>
          <w:spacing w:val="-6"/>
          <w:sz w:val="24"/>
          <w:szCs w:val="24"/>
          <w:lang w:val="it-IT"/>
        </w:rPr>
        <w:t>2.</w:t>
      </w:r>
      <w:r w:rsidR="00C2553B">
        <w:rPr>
          <w:rFonts w:ascii="Tahoma" w:hAnsi="Tahoma" w:cs="Tahoma"/>
          <w:b/>
          <w:bCs/>
          <w:color w:val="215C8A"/>
          <w:spacing w:val="-6"/>
          <w:sz w:val="24"/>
          <w:szCs w:val="24"/>
          <w:lang w:val="it-IT"/>
        </w:rPr>
        <w:t>6</w:t>
      </w:r>
      <w:r w:rsidRPr="004E6B03">
        <w:rPr>
          <w:rFonts w:ascii="Tahoma" w:hAnsi="Tahoma" w:cs="Tahoma"/>
          <w:b/>
          <w:bCs/>
          <w:color w:val="215C8A"/>
          <w:spacing w:val="-6"/>
          <w:sz w:val="24"/>
          <w:szCs w:val="24"/>
          <w:lang w:val="it-IT"/>
        </w:rPr>
        <w:t xml:space="preserve"> DISPONIBILITÀ DI MATERIE PRIME  </w:t>
      </w:r>
    </w:p>
    <w:p w14:paraId="4822FA89" w14:textId="12C4B85A" w:rsidR="00100210" w:rsidRPr="004E6B03" w:rsidRDefault="00100210"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La Nuova Zelanda è ricca in termini di carbone e risorse minerarie, che offrono ampie opportunità di investimento</w:t>
      </w:r>
      <w:r w:rsidR="00740027">
        <w:rPr>
          <w:rFonts w:ascii="Tahoma" w:hAnsi="Tahoma" w:cs="Tahoma"/>
          <w:color w:val="19191A"/>
          <w:lang w:val="it-IT"/>
        </w:rPr>
        <w:t>. Un migliaio</w:t>
      </w:r>
      <w:r w:rsidRPr="004E6B03">
        <w:rPr>
          <w:rFonts w:ascii="Tahoma" w:hAnsi="Tahoma" w:cs="Tahoma"/>
          <w:color w:val="19191A"/>
          <w:lang w:val="it-IT"/>
        </w:rPr>
        <w:t xml:space="preserve"> circa </w:t>
      </w:r>
      <w:r w:rsidR="00740027">
        <w:rPr>
          <w:rFonts w:ascii="Tahoma" w:hAnsi="Tahoma" w:cs="Tahoma"/>
          <w:color w:val="19191A"/>
          <w:lang w:val="it-IT"/>
        </w:rPr>
        <w:t xml:space="preserve">di </w:t>
      </w:r>
      <w:r w:rsidRPr="004E6B03">
        <w:rPr>
          <w:rFonts w:ascii="Tahoma" w:hAnsi="Tahoma" w:cs="Tahoma"/>
          <w:color w:val="19191A"/>
          <w:lang w:val="it-IT"/>
        </w:rPr>
        <w:t xml:space="preserve">permessi per operazioni esplorative di piccole-medie dimensioni sono attivi sul territorio nazionale. </w:t>
      </w:r>
      <w:r w:rsidR="005755C9">
        <w:rPr>
          <w:rFonts w:ascii="Tahoma" w:hAnsi="Tahoma" w:cs="Tahoma"/>
          <w:color w:val="19191A"/>
          <w:lang w:val="it-IT"/>
        </w:rPr>
        <w:t>Il Governo ha recentemente riaperto la possibilit</w:t>
      </w:r>
      <w:r w:rsidR="00137725">
        <w:rPr>
          <w:rFonts w:ascii="Tahoma" w:hAnsi="Tahoma" w:cs="Tahoma"/>
          <w:color w:val="19191A"/>
          <w:lang w:val="it-IT"/>
        </w:rPr>
        <w:t>à</w:t>
      </w:r>
      <w:r w:rsidR="005755C9">
        <w:rPr>
          <w:rFonts w:ascii="Tahoma" w:hAnsi="Tahoma" w:cs="Tahoma"/>
          <w:color w:val="19191A"/>
          <w:lang w:val="it-IT"/>
        </w:rPr>
        <w:t xml:space="preserve"> di ottenere autorizzazioni per esplorazioni </w:t>
      </w:r>
      <w:r w:rsidR="00740027">
        <w:rPr>
          <w:rFonts w:ascii="Tahoma" w:hAnsi="Tahoma" w:cs="Tahoma"/>
          <w:color w:val="19191A"/>
          <w:lang w:val="it-IT"/>
        </w:rPr>
        <w:t>di idrocarburi offshore.</w:t>
      </w:r>
    </w:p>
    <w:p w14:paraId="00F23F87" w14:textId="77777777" w:rsidR="00100210" w:rsidRPr="004E6B03" w:rsidRDefault="00100210"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L'isola del Nord presenta numerosi depositi epitermali e sabbie ricche di minerali quali ilmenite e titanomagnetite mentre l'isola del Sud offre depositi di oro orogenico in quarzo e lignite.</w:t>
      </w:r>
    </w:p>
    <w:p w14:paraId="5314B851" w14:textId="77777777" w:rsidR="00CA4186" w:rsidRDefault="00CA4186" w:rsidP="00817E8E">
      <w:pPr>
        <w:pStyle w:val="NormalWeb"/>
        <w:shd w:val="clear" w:color="auto" w:fill="FFFFFF"/>
        <w:spacing w:before="0" w:beforeAutospacing="0" w:line="360" w:lineRule="auto"/>
        <w:contextualSpacing/>
        <w:jc w:val="both"/>
        <w:rPr>
          <w:rFonts w:ascii="Tahoma" w:hAnsi="Tahoma" w:cs="Tahoma"/>
          <w:i/>
          <w:iCs/>
          <w:lang w:val="it-IT"/>
        </w:rPr>
      </w:pPr>
    </w:p>
    <w:p w14:paraId="7FC1A7D6" w14:textId="77777777" w:rsidR="00ED1D58" w:rsidRPr="004E6B03" w:rsidRDefault="00ED1D58" w:rsidP="00817E8E">
      <w:pPr>
        <w:pStyle w:val="NormalWeb"/>
        <w:spacing w:line="360" w:lineRule="auto"/>
        <w:contextualSpacing/>
        <w:jc w:val="both"/>
        <w:rPr>
          <w:rFonts w:ascii="Tahoma" w:hAnsi="Tahoma" w:cs="Tahoma"/>
          <w:color w:val="19191A"/>
          <w:lang w:val="it-IT"/>
        </w:rPr>
      </w:pPr>
    </w:p>
    <w:p w14:paraId="4350BDFE" w14:textId="77777777" w:rsidR="00ED1D58" w:rsidRPr="004E6B03" w:rsidRDefault="00ED1D58" w:rsidP="00817E8E">
      <w:pPr>
        <w:pStyle w:val="NormalWeb"/>
        <w:numPr>
          <w:ilvl w:val="0"/>
          <w:numId w:val="26"/>
        </w:numPr>
        <w:shd w:val="clear" w:color="auto" w:fill="FFFFFF"/>
        <w:spacing w:before="0" w:beforeAutospacing="0" w:line="360" w:lineRule="auto"/>
        <w:contextualSpacing/>
        <w:jc w:val="both"/>
        <w:rPr>
          <w:rFonts w:ascii="Tahoma" w:hAnsi="Tahoma" w:cs="Tahoma"/>
          <w:b/>
          <w:bCs/>
          <w:color w:val="215C8A"/>
          <w:spacing w:val="-6"/>
          <w:lang w:val="it-IT"/>
        </w:rPr>
      </w:pPr>
      <w:bookmarkStart w:id="5" w:name="_Hlk214532487"/>
      <w:r w:rsidRPr="004E6B03">
        <w:rPr>
          <w:rFonts w:ascii="Tahoma" w:hAnsi="Tahoma" w:cs="Tahoma"/>
          <w:b/>
          <w:bCs/>
          <w:color w:val="215C8A"/>
          <w:spacing w:val="-6"/>
          <w:lang w:val="it-IT"/>
        </w:rPr>
        <w:t>RAPPORTI ECONOMICO-COMMERCIALI TRA ITALIA E NUOVA ZELANDA</w:t>
      </w:r>
      <w:bookmarkEnd w:id="5"/>
    </w:p>
    <w:p w14:paraId="0B959FDB" w14:textId="77777777" w:rsidR="00ED1D58"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p>
    <w:p w14:paraId="06223B3A" w14:textId="72628B3B" w:rsidR="00ED1D58" w:rsidRPr="004E6B03" w:rsidRDefault="00CE4B40" w:rsidP="00817E8E">
      <w:pPr>
        <w:pStyle w:val="NormalWeb"/>
        <w:shd w:val="clear" w:color="auto" w:fill="FFFFFF"/>
        <w:spacing w:before="0" w:beforeAutospacing="0" w:line="360" w:lineRule="auto"/>
        <w:contextualSpacing/>
        <w:jc w:val="both"/>
        <w:rPr>
          <w:rFonts w:ascii="Tahoma" w:hAnsi="Tahoma" w:cs="Tahoma"/>
          <w:color w:val="19191A"/>
          <w:lang w:val="it-IT"/>
        </w:rPr>
      </w:pPr>
      <w:r>
        <w:rPr>
          <w:rFonts w:ascii="Tahoma" w:hAnsi="Tahoma" w:cs="Tahoma"/>
          <w:color w:val="19191A"/>
          <w:lang w:val="it-IT"/>
        </w:rPr>
        <w:t>Nel 2025 l’Italia si</w:t>
      </w:r>
      <w:r w:rsidR="005755C9">
        <w:rPr>
          <w:rFonts w:ascii="Tahoma" w:hAnsi="Tahoma" w:cs="Tahoma"/>
          <w:color w:val="19191A"/>
          <w:lang w:val="it-IT"/>
        </w:rPr>
        <w:t xml:space="preserve"> colloca al 12° posto </w:t>
      </w:r>
      <w:r>
        <w:rPr>
          <w:rFonts w:ascii="Tahoma" w:hAnsi="Tahoma" w:cs="Tahoma"/>
          <w:color w:val="19191A"/>
          <w:lang w:val="it-IT"/>
        </w:rPr>
        <w:t xml:space="preserve">fra i fornitori </w:t>
      </w:r>
      <w:r w:rsidR="00ED1D58" w:rsidRPr="004E6B03">
        <w:rPr>
          <w:rFonts w:ascii="Tahoma" w:hAnsi="Tahoma" w:cs="Tahoma"/>
          <w:color w:val="19191A"/>
          <w:lang w:val="it-IT"/>
        </w:rPr>
        <w:t>della Nuova Zeland</w:t>
      </w:r>
      <w:r>
        <w:rPr>
          <w:rFonts w:ascii="Tahoma" w:hAnsi="Tahoma" w:cs="Tahoma"/>
          <w:color w:val="19191A"/>
          <w:lang w:val="it-IT"/>
        </w:rPr>
        <w:t>a.</w:t>
      </w:r>
      <w:r w:rsidR="00ED1D58" w:rsidRPr="004E6B03">
        <w:rPr>
          <w:rFonts w:ascii="Tahoma" w:hAnsi="Tahoma" w:cs="Tahoma"/>
          <w:color w:val="19191A"/>
          <w:lang w:val="it-IT"/>
        </w:rPr>
        <w:t xml:space="preserve"> </w:t>
      </w:r>
      <w:r>
        <w:rPr>
          <w:rFonts w:ascii="Tahoma" w:hAnsi="Tahoma" w:cs="Tahoma"/>
          <w:color w:val="19191A"/>
          <w:lang w:val="it-IT"/>
        </w:rPr>
        <w:t xml:space="preserve">È il secondo paese esportatore fra quelli dell’Unione Europea; la Nuova Zelanda è il </w:t>
      </w:r>
      <w:r w:rsidR="00ED1D58" w:rsidRPr="004E6B03">
        <w:rPr>
          <w:rFonts w:ascii="Tahoma" w:hAnsi="Tahoma" w:cs="Tahoma"/>
          <w:color w:val="19191A"/>
          <w:lang w:val="it-IT"/>
        </w:rPr>
        <w:t xml:space="preserve">93esimo fornitore dell’Italia.  </w:t>
      </w:r>
    </w:p>
    <w:p w14:paraId="6A46C90E" w14:textId="4ED7B4CF" w:rsidR="00ED1D58" w:rsidRPr="004E6B03"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Nel 2024 si </w:t>
      </w:r>
      <w:r w:rsidR="006A2969">
        <w:rPr>
          <w:rFonts w:ascii="Tahoma" w:hAnsi="Tahoma" w:cs="Tahoma"/>
          <w:color w:val="19191A"/>
          <w:lang w:val="it-IT"/>
        </w:rPr>
        <w:t xml:space="preserve">è </w:t>
      </w:r>
      <w:r w:rsidRPr="004E6B03">
        <w:rPr>
          <w:rFonts w:ascii="Tahoma" w:hAnsi="Tahoma" w:cs="Tahoma"/>
          <w:color w:val="19191A"/>
          <w:lang w:val="it-IT"/>
        </w:rPr>
        <w:t>registra</w:t>
      </w:r>
      <w:r w:rsidR="006A2969">
        <w:rPr>
          <w:rFonts w:ascii="Tahoma" w:hAnsi="Tahoma" w:cs="Tahoma"/>
          <w:color w:val="19191A"/>
          <w:lang w:val="it-IT"/>
        </w:rPr>
        <w:t>to</w:t>
      </w:r>
      <w:r w:rsidRPr="004E6B03">
        <w:rPr>
          <w:rFonts w:ascii="Tahoma" w:hAnsi="Tahoma" w:cs="Tahoma"/>
          <w:color w:val="19191A"/>
          <w:lang w:val="it-IT"/>
        </w:rPr>
        <w:t xml:space="preserve"> un leggero calo delle esportazioni di beni e servizi italiani rispetto all’anno precedente (-4,6%)</w:t>
      </w:r>
      <w:r w:rsidR="006A2969">
        <w:rPr>
          <w:rFonts w:ascii="Tahoma" w:hAnsi="Tahoma" w:cs="Tahoma"/>
          <w:color w:val="19191A"/>
          <w:lang w:val="it-IT"/>
        </w:rPr>
        <w:t>,</w:t>
      </w:r>
      <w:r w:rsidRPr="004E6B03">
        <w:rPr>
          <w:rFonts w:ascii="Tahoma" w:hAnsi="Tahoma" w:cs="Tahoma"/>
          <w:color w:val="19191A"/>
          <w:lang w:val="it-IT"/>
        </w:rPr>
        <w:t xml:space="preserve"> </w:t>
      </w:r>
      <w:r w:rsidR="006A2969">
        <w:rPr>
          <w:rFonts w:ascii="Tahoma" w:hAnsi="Tahoma" w:cs="Tahoma"/>
          <w:color w:val="19191A"/>
          <w:lang w:val="it-IT"/>
        </w:rPr>
        <w:t xml:space="preserve">per un totale di </w:t>
      </w:r>
      <w:r w:rsidRPr="004E6B03">
        <w:rPr>
          <w:rFonts w:ascii="Tahoma" w:hAnsi="Tahoma" w:cs="Tahoma"/>
          <w:color w:val="19191A"/>
          <w:lang w:val="it-IT"/>
        </w:rPr>
        <w:t>€643,35 milioni.</w:t>
      </w:r>
    </w:p>
    <w:p w14:paraId="389C05A3" w14:textId="1FE1136A" w:rsidR="00ED1D58" w:rsidRPr="004E6B03"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Si segnala però un aumento delle esportazioni di prodotti alimentari (+10,88%), bevande (+3,91%), prodotti farmaceutici di base e preparati farmaceutici (+4,24%) e sono contemporaneamente cresciute le importazioni italiane dalla Nuova Zelanda (+13.5%)</w:t>
      </w:r>
      <w:r w:rsidR="00740027">
        <w:rPr>
          <w:rFonts w:ascii="Tahoma" w:hAnsi="Tahoma" w:cs="Tahoma"/>
          <w:color w:val="19191A"/>
          <w:lang w:val="it-IT"/>
        </w:rPr>
        <w:t>,</w:t>
      </w:r>
      <w:r w:rsidRPr="004E6B03">
        <w:rPr>
          <w:rFonts w:ascii="Tahoma" w:hAnsi="Tahoma" w:cs="Tahoma"/>
          <w:color w:val="19191A"/>
          <w:lang w:val="it-IT"/>
        </w:rPr>
        <w:t xml:space="preserve"> che nel 2024 erano pari a €211,58 milioni.</w:t>
      </w:r>
    </w:p>
    <w:p w14:paraId="5491191A" w14:textId="77777777" w:rsidR="00ED1D58" w:rsidRPr="004E6B03"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lastRenderedPageBreak/>
        <w:t xml:space="preserve">A livello settoriale, si confermano quali principali comparti del nostro export: macchinari ed apparecchiature; prodotti alimentari; autoveicoli, rimorchi e semirimorchi; apparecchiature elettriche e apparecchiature per uso domestico non elettriche; prodotti farmaceutici di base e preparati farmaceutici. </w:t>
      </w:r>
    </w:p>
    <w:p w14:paraId="07223945" w14:textId="77777777" w:rsidR="00633366"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Le principali voci delle importazioni italiane della Nuova Zelanda sono: prodotti dell’agricoltura, pesca e silvicoltura; articoli in pelle; prodotti alimentari; prodotti tessili; prodotti chimici. </w:t>
      </w:r>
    </w:p>
    <w:p w14:paraId="5D7CE0F2" w14:textId="0FC802DB" w:rsidR="00ED1D58"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noProof/>
          <w:color w:val="19191A"/>
          <w:lang w:val="it-IT"/>
        </w:rPr>
        <w:lastRenderedPageBreak/>
        <w:drawing>
          <wp:inline distT="0" distB="0" distL="0" distR="0" wp14:anchorId="2CE6EB1B" wp14:editId="45F50E2E">
            <wp:extent cx="5731510" cy="7283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7283450"/>
                    </a:xfrm>
                    <a:prstGeom prst="rect">
                      <a:avLst/>
                    </a:prstGeom>
                  </pic:spPr>
                </pic:pic>
              </a:graphicData>
            </a:graphic>
          </wp:inline>
        </w:drawing>
      </w:r>
    </w:p>
    <w:p w14:paraId="18C8297C" w14:textId="64051133" w:rsidR="00CA4186" w:rsidRPr="0066026B" w:rsidRDefault="00ED1D5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noProof/>
          <w:color w:val="000000" w:themeColor="text1"/>
          <w:spacing w:val="-6"/>
          <w:lang w:val="it-IT"/>
        </w:rPr>
        <w:lastRenderedPageBreak/>
        <w:drawing>
          <wp:inline distT="0" distB="0" distL="0" distR="0" wp14:anchorId="1B40D62C" wp14:editId="56A25C82">
            <wp:extent cx="5731510" cy="62642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264275"/>
                    </a:xfrm>
                    <a:prstGeom prst="rect">
                      <a:avLst/>
                    </a:prstGeom>
                  </pic:spPr>
                </pic:pic>
              </a:graphicData>
            </a:graphic>
          </wp:inline>
        </w:drawing>
      </w:r>
    </w:p>
    <w:p w14:paraId="1ACE9057" w14:textId="36487EF7" w:rsidR="00ED1D58" w:rsidRPr="00A60D7A" w:rsidRDefault="00ED1D58" w:rsidP="00817E8E">
      <w:pPr>
        <w:pStyle w:val="NormalWeb"/>
        <w:shd w:val="clear" w:color="auto" w:fill="FFFFFF"/>
        <w:spacing w:before="0" w:beforeAutospacing="0" w:line="360" w:lineRule="auto"/>
        <w:contextualSpacing/>
        <w:jc w:val="both"/>
        <w:rPr>
          <w:rFonts w:ascii="Tahoma" w:hAnsi="Tahoma" w:cs="Tahoma"/>
          <w:color w:val="19191A"/>
          <w:sz w:val="20"/>
          <w:szCs w:val="20"/>
          <w:shd w:val="clear" w:color="auto" w:fill="FFFFFF"/>
          <w:lang w:val="it-IT"/>
        </w:rPr>
      </w:pPr>
      <w:r w:rsidRPr="00A60D7A">
        <w:rPr>
          <w:rFonts w:ascii="Tahoma" w:hAnsi="Tahoma" w:cs="Tahoma"/>
          <w:color w:val="19191A"/>
          <w:sz w:val="20"/>
          <w:szCs w:val="20"/>
          <w:shd w:val="clear" w:color="auto" w:fill="FFFFFF"/>
          <w:lang w:val="it-IT"/>
        </w:rPr>
        <w:t>Fonte: I</w:t>
      </w:r>
      <w:r w:rsidR="00AB525E" w:rsidRPr="00A60D7A">
        <w:rPr>
          <w:rFonts w:ascii="Tahoma" w:hAnsi="Tahoma" w:cs="Tahoma"/>
          <w:color w:val="19191A"/>
          <w:sz w:val="20"/>
          <w:szCs w:val="20"/>
          <w:shd w:val="clear" w:color="auto" w:fill="FFFFFF"/>
          <w:lang w:val="it-IT"/>
        </w:rPr>
        <w:t>nfomercati</w:t>
      </w:r>
      <w:r w:rsidRPr="00A60D7A">
        <w:rPr>
          <w:rFonts w:ascii="Tahoma" w:hAnsi="Tahoma" w:cs="Tahoma"/>
          <w:color w:val="19191A"/>
          <w:sz w:val="20"/>
          <w:szCs w:val="20"/>
          <w:shd w:val="clear" w:color="auto" w:fill="FFFFFF"/>
          <w:lang w:val="it-IT"/>
        </w:rPr>
        <w:t xml:space="preserve"> </w:t>
      </w:r>
    </w:p>
    <w:p w14:paraId="46314104" w14:textId="5D7D84F0" w:rsidR="00A60D7A" w:rsidRDefault="00A60D7A"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3361CDDF" w14:textId="5EE5422E" w:rsidR="00A60D7A" w:rsidRPr="00A60D7A" w:rsidRDefault="00A60D7A" w:rsidP="00817E8E">
      <w:pPr>
        <w:pStyle w:val="NormalWeb"/>
        <w:shd w:val="clear" w:color="auto" w:fill="FFFFFF"/>
        <w:spacing w:before="0" w:beforeAutospacing="0" w:line="360" w:lineRule="auto"/>
        <w:contextualSpacing/>
        <w:jc w:val="both"/>
        <w:rPr>
          <w:rFonts w:ascii="Tahoma" w:hAnsi="Tahoma" w:cs="Tahoma"/>
          <w:color w:val="19191A"/>
          <w:sz w:val="20"/>
          <w:szCs w:val="20"/>
          <w:shd w:val="clear" w:color="auto" w:fill="FFFFFF"/>
          <w:lang w:val="it-IT"/>
        </w:rPr>
      </w:pPr>
      <w:r>
        <w:rPr>
          <w:rFonts w:ascii="Tahoma" w:hAnsi="Tahoma" w:cs="Tahoma"/>
          <w:color w:val="19191A"/>
          <w:sz w:val="20"/>
          <w:szCs w:val="20"/>
          <w:shd w:val="clear" w:color="auto" w:fill="FFFFFF"/>
          <w:lang w:val="it-IT"/>
        </w:rPr>
        <w:t xml:space="preserve">Principali paesi che </w:t>
      </w:r>
      <w:r w:rsidR="00EE4F13">
        <w:rPr>
          <w:rFonts w:ascii="Tahoma" w:hAnsi="Tahoma" w:cs="Tahoma"/>
          <w:color w:val="19191A"/>
          <w:sz w:val="20"/>
          <w:szCs w:val="20"/>
          <w:shd w:val="clear" w:color="auto" w:fill="FFFFFF"/>
          <w:lang w:val="it-IT"/>
        </w:rPr>
        <w:t>esportano</w:t>
      </w:r>
      <w:r>
        <w:rPr>
          <w:rFonts w:ascii="Tahoma" w:hAnsi="Tahoma" w:cs="Tahoma"/>
          <w:color w:val="19191A"/>
          <w:sz w:val="20"/>
          <w:szCs w:val="20"/>
          <w:shd w:val="clear" w:color="auto" w:fill="FFFFFF"/>
          <w:lang w:val="it-IT"/>
        </w:rPr>
        <w:t xml:space="preserve"> in Nuova Zelanda</w:t>
      </w:r>
    </w:p>
    <w:p w14:paraId="2789FB7F" w14:textId="11F177A0" w:rsidR="00A60D7A" w:rsidRPr="0066026B" w:rsidRDefault="00A60D7A"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r w:rsidRPr="00A60D7A">
        <w:rPr>
          <w:rFonts w:ascii="Tahoma" w:hAnsi="Tahoma" w:cs="Tahoma"/>
          <w:i/>
          <w:iCs/>
          <w:noProof/>
          <w:color w:val="19191A"/>
          <w:shd w:val="clear" w:color="auto" w:fill="FFFFFF"/>
          <w:lang w:val="it-IT"/>
        </w:rPr>
        <w:drawing>
          <wp:inline distT="0" distB="0" distL="0" distR="0" wp14:anchorId="7786EC92" wp14:editId="4786E556">
            <wp:extent cx="5731510" cy="15913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591310"/>
                    </a:xfrm>
                    <a:prstGeom prst="rect">
                      <a:avLst/>
                    </a:prstGeom>
                  </pic:spPr>
                </pic:pic>
              </a:graphicData>
            </a:graphic>
          </wp:inline>
        </w:drawing>
      </w:r>
    </w:p>
    <w:p w14:paraId="6A05E8D2" w14:textId="51EC3637" w:rsidR="00ED1D58" w:rsidRDefault="00ED1D58" w:rsidP="00817E8E">
      <w:pPr>
        <w:pStyle w:val="NormalWeb"/>
        <w:shd w:val="clear" w:color="auto" w:fill="FFFFFF"/>
        <w:spacing w:before="0" w:beforeAutospacing="0" w:line="360" w:lineRule="auto"/>
        <w:contextualSpacing/>
        <w:jc w:val="both"/>
        <w:rPr>
          <w:rFonts w:ascii="Tahoma" w:hAnsi="Tahoma" w:cs="Tahoma"/>
          <w:b/>
          <w:bCs/>
          <w:color w:val="215C8A"/>
          <w:spacing w:val="-6"/>
          <w:lang w:val="it-IT"/>
        </w:rPr>
      </w:pPr>
    </w:p>
    <w:p w14:paraId="5E02A95D" w14:textId="25A00B69" w:rsidR="00A60D7A" w:rsidRDefault="00A60D7A" w:rsidP="00817E8E">
      <w:pPr>
        <w:pStyle w:val="NormalWeb"/>
        <w:shd w:val="clear" w:color="auto" w:fill="FFFFFF"/>
        <w:spacing w:before="0" w:beforeAutospacing="0" w:line="360" w:lineRule="auto"/>
        <w:contextualSpacing/>
        <w:jc w:val="both"/>
        <w:rPr>
          <w:rFonts w:ascii="Tahoma" w:hAnsi="Tahoma" w:cs="Tahoma"/>
          <w:spacing w:val="-6"/>
          <w:highlight w:val="yellow"/>
          <w:lang w:val="it-IT"/>
        </w:rPr>
      </w:pPr>
      <w:r w:rsidRPr="00A60D7A">
        <w:rPr>
          <w:rFonts w:ascii="Tahoma" w:hAnsi="Tahoma" w:cs="Tahoma"/>
          <w:noProof/>
          <w:spacing w:val="-6"/>
          <w:lang w:val="it-IT"/>
        </w:rPr>
        <w:drawing>
          <wp:inline distT="0" distB="0" distL="0" distR="0" wp14:anchorId="2FAC2D69" wp14:editId="74BA2EBD">
            <wp:extent cx="5731510" cy="22904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290445"/>
                    </a:xfrm>
                    <a:prstGeom prst="rect">
                      <a:avLst/>
                    </a:prstGeom>
                  </pic:spPr>
                </pic:pic>
              </a:graphicData>
            </a:graphic>
          </wp:inline>
        </w:drawing>
      </w:r>
    </w:p>
    <w:p w14:paraId="05026925" w14:textId="34DA1ED6" w:rsidR="0007630E" w:rsidRPr="00A70214" w:rsidRDefault="00A60D7A" w:rsidP="00817E8E">
      <w:pPr>
        <w:pStyle w:val="NormalWeb"/>
        <w:shd w:val="clear" w:color="auto" w:fill="FFFFFF"/>
        <w:jc w:val="both"/>
        <w:rPr>
          <w:rFonts w:ascii="Tahoma" w:hAnsi="Tahoma" w:cs="Tahoma"/>
          <w:color w:val="19191A"/>
          <w:sz w:val="20"/>
          <w:szCs w:val="20"/>
          <w:shd w:val="clear" w:color="auto" w:fill="FFFFFF"/>
          <w:lang w:val="it-IT"/>
        </w:rPr>
      </w:pPr>
      <w:r>
        <w:rPr>
          <w:rFonts w:ascii="Tahoma" w:hAnsi="Tahoma" w:cs="Tahoma"/>
          <w:color w:val="19191A"/>
          <w:sz w:val="20"/>
          <w:szCs w:val="20"/>
          <w:shd w:val="clear" w:color="auto" w:fill="FFFFFF"/>
          <w:lang w:val="it-IT"/>
        </w:rPr>
        <w:t xml:space="preserve">Fonte: </w:t>
      </w:r>
      <w:r w:rsidR="0007630E" w:rsidRPr="00A70214">
        <w:rPr>
          <w:rFonts w:ascii="Tahoma" w:hAnsi="Tahoma" w:cs="Tahoma"/>
          <w:color w:val="19191A"/>
          <w:sz w:val="20"/>
          <w:szCs w:val="20"/>
          <w:shd w:val="clear" w:color="auto" w:fill="FFFFFF"/>
          <w:lang w:val="it-IT"/>
        </w:rPr>
        <w:t>Italian Trade Agency Sydney, Scheda Paese Nuova Zelanda, 2025</w:t>
      </w:r>
    </w:p>
    <w:p w14:paraId="5FB98067" w14:textId="488861D2" w:rsidR="00A60D7A" w:rsidRPr="00A60D7A" w:rsidRDefault="00A60D7A" w:rsidP="00817E8E">
      <w:pPr>
        <w:pStyle w:val="NormalWeb"/>
        <w:shd w:val="clear" w:color="auto" w:fill="FFFFFF"/>
        <w:spacing w:before="0" w:beforeAutospacing="0" w:line="360" w:lineRule="auto"/>
        <w:contextualSpacing/>
        <w:jc w:val="both"/>
        <w:rPr>
          <w:rFonts w:ascii="Tahoma" w:hAnsi="Tahoma" w:cs="Tahoma"/>
          <w:color w:val="19191A"/>
          <w:sz w:val="20"/>
          <w:szCs w:val="20"/>
          <w:shd w:val="clear" w:color="auto" w:fill="FFFFFF"/>
          <w:lang w:val="it-IT"/>
        </w:rPr>
      </w:pPr>
    </w:p>
    <w:p w14:paraId="07E293A3" w14:textId="1245C249" w:rsidR="00A60D7A" w:rsidRDefault="00A60D7A" w:rsidP="00817E8E">
      <w:pPr>
        <w:pStyle w:val="NormalWeb"/>
        <w:shd w:val="clear" w:color="auto" w:fill="FFFFFF"/>
        <w:spacing w:before="0" w:beforeAutospacing="0" w:line="360" w:lineRule="auto"/>
        <w:contextualSpacing/>
        <w:jc w:val="both"/>
        <w:rPr>
          <w:rFonts w:ascii="Tahoma" w:hAnsi="Tahoma" w:cs="Tahoma"/>
          <w:spacing w:val="-6"/>
          <w:highlight w:val="yellow"/>
          <w:lang w:val="it-IT"/>
        </w:rPr>
      </w:pPr>
    </w:p>
    <w:p w14:paraId="5D118C08" w14:textId="50267A4B" w:rsidR="00A60D7A" w:rsidRPr="00A60D7A" w:rsidRDefault="00A60D7A" w:rsidP="00817E8E">
      <w:pPr>
        <w:pStyle w:val="NormalWeb"/>
        <w:shd w:val="clear" w:color="auto" w:fill="FFFFFF"/>
        <w:spacing w:before="0" w:beforeAutospacing="0" w:line="360" w:lineRule="auto"/>
        <w:contextualSpacing/>
        <w:jc w:val="both"/>
        <w:rPr>
          <w:rFonts w:ascii="Tahoma" w:hAnsi="Tahoma" w:cs="Tahoma"/>
          <w:color w:val="19191A"/>
          <w:sz w:val="20"/>
          <w:szCs w:val="20"/>
          <w:shd w:val="clear" w:color="auto" w:fill="FFFFFF"/>
          <w:lang w:val="it-IT"/>
        </w:rPr>
      </w:pPr>
      <w:r>
        <w:rPr>
          <w:rFonts w:ascii="Tahoma" w:hAnsi="Tahoma" w:cs="Tahoma"/>
          <w:color w:val="19191A"/>
          <w:sz w:val="20"/>
          <w:szCs w:val="20"/>
          <w:shd w:val="clear" w:color="auto" w:fill="FFFFFF"/>
          <w:lang w:val="it-IT"/>
        </w:rPr>
        <w:t>Principali paesi che importano dalla Nuova Zelanda</w:t>
      </w:r>
    </w:p>
    <w:p w14:paraId="37A03DFD" w14:textId="52996216" w:rsidR="00A60D7A" w:rsidRDefault="00A60D7A" w:rsidP="00817E8E">
      <w:pPr>
        <w:pStyle w:val="NormalWeb"/>
        <w:shd w:val="clear" w:color="auto" w:fill="FFFFFF"/>
        <w:spacing w:before="0" w:beforeAutospacing="0" w:line="360" w:lineRule="auto"/>
        <w:contextualSpacing/>
        <w:jc w:val="both"/>
        <w:rPr>
          <w:rFonts w:ascii="Tahoma" w:hAnsi="Tahoma" w:cs="Tahoma"/>
          <w:spacing w:val="-6"/>
          <w:highlight w:val="yellow"/>
          <w:lang w:val="it-IT"/>
        </w:rPr>
      </w:pPr>
      <w:r w:rsidRPr="00A60D7A">
        <w:rPr>
          <w:rFonts w:ascii="Tahoma" w:hAnsi="Tahoma" w:cs="Tahoma"/>
          <w:noProof/>
          <w:spacing w:val="-6"/>
          <w:lang w:val="it-IT"/>
        </w:rPr>
        <w:drawing>
          <wp:inline distT="0" distB="0" distL="0" distR="0" wp14:anchorId="6154BCD5" wp14:editId="03B1F7D6">
            <wp:extent cx="5731510" cy="36925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692525"/>
                    </a:xfrm>
                    <a:prstGeom prst="rect">
                      <a:avLst/>
                    </a:prstGeom>
                  </pic:spPr>
                </pic:pic>
              </a:graphicData>
            </a:graphic>
          </wp:inline>
        </w:drawing>
      </w:r>
    </w:p>
    <w:p w14:paraId="4804332D" w14:textId="09EF1A8C" w:rsidR="0007630E" w:rsidRPr="0007630E" w:rsidRDefault="0007630E" w:rsidP="00817E8E">
      <w:pPr>
        <w:pStyle w:val="NormalWeb"/>
        <w:shd w:val="clear" w:color="auto" w:fill="FFFFFF"/>
        <w:jc w:val="both"/>
        <w:rPr>
          <w:rFonts w:ascii="Tahoma" w:hAnsi="Tahoma" w:cs="Tahoma"/>
          <w:color w:val="19191A"/>
          <w:sz w:val="20"/>
          <w:szCs w:val="20"/>
          <w:shd w:val="clear" w:color="auto" w:fill="FFFFFF"/>
        </w:rPr>
      </w:pPr>
      <w:r>
        <w:rPr>
          <w:rFonts w:ascii="Tahoma" w:hAnsi="Tahoma" w:cs="Tahoma"/>
          <w:color w:val="19191A"/>
          <w:sz w:val="20"/>
          <w:szCs w:val="20"/>
          <w:shd w:val="clear" w:color="auto" w:fill="FFFFFF"/>
          <w:lang w:val="it-IT"/>
        </w:rPr>
        <w:t xml:space="preserve">Fonte: </w:t>
      </w:r>
      <w:r w:rsidRPr="0007630E">
        <w:rPr>
          <w:rFonts w:ascii="Tahoma" w:hAnsi="Tahoma" w:cs="Tahoma"/>
          <w:color w:val="19191A"/>
          <w:sz w:val="20"/>
          <w:szCs w:val="20"/>
          <w:shd w:val="clear" w:color="auto" w:fill="FFFFFF"/>
        </w:rPr>
        <w:t>Italian Trade Agency Sydney, Scheda Paese Nuova Zelanda, 2025</w:t>
      </w:r>
    </w:p>
    <w:p w14:paraId="642C1359" w14:textId="77777777" w:rsidR="0007630E" w:rsidRPr="00A60D7A" w:rsidRDefault="0007630E" w:rsidP="00817E8E">
      <w:pPr>
        <w:pStyle w:val="NormalWeb"/>
        <w:shd w:val="clear" w:color="auto" w:fill="FFFFFF"/>
        <w:spacing w:before="0" w:beforeAutospacing="0" w:line="360" w:lineRule="auto"/>
        <w:contextualSpacing/>
        <w:jc w:val="both"/>
        <w:rPr>
          <w:rFonts w:ascii="Tahoma" w:hAnsi="Tahoma" w:cs="Tahoma"/>
          <w:color w:val="19191A"/>
          <w:sz w:val="20"/>
          <w:szCs w:val="20"/>
          <w:shd w:val="clear" w:color="auto" w:fill="FFFFFF"/>
          <w:lang w:val="it-IT"/>
        </w:rPr>
      </w:pPr>
    </w:p>
    <w:p w14:paraId="5A213D19" w14:textId="4831BC73" w:rsidR="00CA4186" w:rsidRDefault="00CA4186" w:rsidP="00817E8E">
      <w:pPr>
        <w:pStyle w:val="NormalWeb"/>
        <w:shd w:val="clear" w:color="auto" w:fill="FFFFFF"/>
        <w:spacing w:before="0" w:beforeAutospacing="0" w:line="360" w:lineRule="auto"/>
        <w:contextualSpacing/>
        <w:jc w:val="both"/>
        <w:rPr>
          <w:rFonts w:ascii="Tahoma" w:hAnsi="Tahoma" w:cs="Tahoma"/>
          <w:b/>
          <w:bCs/>
          <w:color w:val="215C8A"/>
          <w:spacing w:val="-6"/>
          <w:lang w:val="it-IT"/>
        </w:rPr>
      </w:pPr>
    </w:p>
    <w:p w14:paraId="371775D9" w14:textId="1DC4684F" w:rsidR="00CA4186" w:rsidRDefault="00CA4186" w:rsidP="00817E8E">
      <w:pPr>
        <w:pStyle w:val="NormalWeb"/>
        <w:shd w:val="clear" w:color="auto" w:fill="FFFFFF"/>
        <w:spacing w:before="0" w:beforeAutospacing="0" w:line="360" w:lineRule="auto"/>
        <w:contextualSpacing/>
        <w:jc w:val="both"/>
        <w:rPr>
          <w:rFonts w:ascii="Tahoma" w:hAnsi="Tahoma" w:cs="Tahoma"/>
          <w:b/>
          <w:bCs/>
          <w:color w:val="215C8A"/>
          <w:spacing w:val="-6"/>
          <w:lang w:val="it-IT"/>
        </w:rPr>
      </w:pPr>
    </w:p>
    <w:p w14:paraId="12E26C7A" w14:textId="77777777" w:rsidR="0066026B" w:rsidRDefault="0066026B" w:rsidP="00817E8E">
      <w:pPr>
        <w:pStyle w:val="NormalWeb"/>
        <w:shd w:val="clear" w:color="auto" w:fill="FFFFFF"/>
        <w:spacing w:before="0" w:beforeAutospacing="0" w:line="360" w:lineRule="auto"/>
        <w:contextualSpacing/>
        <w:jc w:val="both"/>
        <w:rPr>
          <w:rFonts w:ascii="Tahoma" w:hAnsi="Tahoma" w:cs="Tahoma"/>
          <w:b/>
          <w:bCs/>
          <w:color w:val="215C8A"/>
          <w:spacing w:val="-6"/>
          <w:lang w:val="it-IT"/>
        </w:rPr>
      </w:pPr>
    </w:p>
    <w:p w14:paraId="13678669" w14:textId="77777777" w:rsidR="00CA4186" w:rsidRPr="004E6B03" w:rsidRDefault="00CA4186" w:rsidP="00817E8E">
      <w:pPr>
        <w:pStyle w:val="NormalWeb"/>
        <w:shd w:val="clear" w:color="auto" w:fill="FFFFFF"/>
        <w:spacing w:before="0" w:beforeAutospacing="0" w:line="360" w:lineRule="auto"/>
        <w:contextualSpacing/>
        <w:jc w:val="both"/>
        <w:rPr>
          <w:rFonts w:ascii="Tahoma" w:hAnsi="Tahoma" w:cs="Tahoma"/>
          <w:b/>
          <w:bCs/>
          <w:color w:val="215C8A"/>
          <w:spacing w:val="-6"/>
          <w:lang w:val="it-IT"/>
        </w:rPr>
      </w:pPr>
    </w:p>
    <w:p w14:paraId="0C3DC69B" w14:textId="425C74E6" w:rsidR="00E84038" w:rsidRPr="0066026B" w:rsidRDefault="00E84038" w:rsidP="00817E8E">
      <w:pPr>
        <w:pStyle w:val="ListParagraph"/>
        <w:widowControl w:val="0"/>
        <w:numPr>
          <w:ilvl w:val="0"/>
          <w:numId w:val="26"/>
        </w:numPr>
        <w:autoSpaceDE w:val="0"/>
        <w:autoSpaceDN w:val="0"/>
        <w:spacing w:before="0" w:after="0" w:line="360" w:lineRule="auto"/>
        <w:rPr>
          <w:rFonts w:ascii="Tahoma" w:hAnsi="Tahoma" w:cs="Tahoma"/>
          <w:color w:val="19191A"/>
          <w:sz w:val="24"/>
          <w:szCs w:val="24"/>
          <w:shd w:val="clear" w:color="auto" w:fill="FFFFFF"/>
          <w:lang w:val="it-IT"/>
        </w:rPr>
      </w:pPr>
      <w:r w:rsidRPr="00ED1D58">
        <w:rPr>
          <w:rFonts w:ascii="Tahoma" w:hAnsi="Tahoma" w:cs="Tahoma"/>
          <w:b/>
          <w:bCs/>
          <w:color w:val="215C8A"/>
          <w:spacing w:val="-6"/>
          <w:sz w:val="24"/>
          <w:szCs w:val="24"/>
          <w:lang w:val="it-IT"/>
        </w:rPr>
        <w:t>INVESTIMENTI DIRETTI ESTERI</w:t>
      </w:r>
    </w:p>
    <w:p w14:paraId="6FFD6222" w14:textId="77777777" w:rsidR="0066026B" w:rsidRPr="00ED1D58" w:rsidRDefault="0066026B" w:rsidP="00817E8E">
      <w:pPr>
        <w:pStyle w:val="ListParagraph"/>
        <w:widowControl w:val="0"/>
        <w:autoSpaceDE w:val="0"/>
        <w:autoSpaceDN w:val="0"/>
        <w:spacing w:before="0" w:after="0" w:line="360" w:lineRule="auto"/>
        <w:ind w:left="450"/>
        <w:rPr>
          <w:rFonts w:ascii="Tahoma" w:hAnsi="Tahoma" w:cs="Tahoma"/>
          <w:color w:val="19191A"/>
          <w:sz w:val="24"/>
          <w:szCs w:val="24"/>
          <w:shd w:val="clear" w:color="auto" w:fill="FFFFFF"/>
          <w:lang w:val="it-IT"/>
        </w:rPr>
      </w:pPr>
    </w:p>
    <w:p w14:paraId="38F8E5D3" w14:textId="77777777" w:rsidR="00E84038" w:rsidRPr="004E6B03" w:rsidRDefault="00E8403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L’Unione Europea nel 2024 era il quinto investitore in Nuova Zelanda, rappresentando circa il 5% degli IDE totali.</w:t>
      </w:r>
    </w:p>
    <w:p w14:paraId="3F95AE5D" w14:textId="77777777" w:rsidR="00E84038" w:rsidRPr="004E6B03" w:rsidRDefault="00E8403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Tra gli Stati Membri dell’UE, la Germania è il principale investitore, seguita da Francia, Lussemburgo, Svezia, Danimarca, Spagna, Italia (con un investimento di €152 milioni nel 2023) e Belgio. </w:t>
      </w:r>
    </w:p>
    <w:p w14:paraId="6C4EF009" w14:textId="49D2695A" w:rsidR="00E84038" w:rsidRPr="004E6B03" w:rsidRDefault="00E8403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Gli investimenti europei si concentrano principalmente nel settore dei servizi finanziari ed assicurativi </w:t>
      </w:r>
      <w:r w:rsidR="0066026B">
        <w:rPr>
          <w:rFonts w:ascii="Tahoma" w:hAnsi="Tahoma" w:cs="Tahoma"/>
          <w:color w:val="19191A"/>
          <w:lang w:val="it-IT"/>
        </w:rPr>
        <w:t>(</w:t>
      </w:r>
      <w:r w:rsidRPr="004E6B03">
        <w:rPr>
          <w:rFonts w:ascii="Tahoma" w:hAnsi="Tahoma" w:cs="Tahoma"/>
          <w:color w:val="19191A"/>
          <w:lang w:val="it-IT"/>
        </w:rPr>
        <w:t>33% de</w:t>
      </w:r>
      <w:r w:rsidR="0066026B">
        <w:rPr>
          <w:rFonts w:ascii="Tahoma" w:hAnsi="Tahoma" w:cs="Tahoma"/>
          <w:color w:val="19191A"/>
          <w:lang w:val="it-IT"/>
        </w:rPr>
        <w:t xml:space="preserve">l totale); </w:t>
      </w:r>
      <w:r w:rsidRPr="004E6B03">
        <w:rPr>
          <w:rFonts w:ascii="Tahoma" w:hAnsi="Tahoma" w:cs="Tahoma"/>
          <w:color w:val="19191A"/>
          <w:lang w:val="it-IT"/>
        </w:rPr>
        <w:t>seguono il settore dei servizi professionali, scientifici e tecnici (17%); il settore manifatturiero (15%); il settore del commercio all’ingrosso (10%); mentre la restante parte degli investimenti riguarda una pluralità di altri settori (25%).</w:t>
      </w:r>
    </w:p>
    <w:p w14:paraId="7EF9C1EA" w14:textId="77777777" w:rsidR="0066026B" w:rsidRPr="001566E5" w:rsidRDefault="0066026B" w:rsidP="00817E8E">
      <w:pPr>
        <w:pStyle w:val="NormalWeb"/>
        <w:shd w:val="clear" w:color="auto" w:fill="FFFFFF"/>
        <w:spacing w:before="0" w:beforeAutospacing="0" w:line="360" w:lineRule="auto"/>
        <w:contextualSpacing/>
        <w:jc w:val="both"/>
        <w:rPr>
          <w:rFonts w:ascii="Tahoma" w:hAnsi="Tahoma" w:cs="Tahoma"/>
          <w:b/>
          <w:bCs/>
          <w:color w:val="215C8A"/>
          <w:spacing w:val="-6"/>
          <w:lang w:val="it-IT"/>
        </w:rPr>
      </w:pPr>
    </w:p>
    <w:p w14:paraId="0F084623" w14:textId="66944D3F" w:rsidR="00B40DB7" w:rsidRPr="004E6B03" w:rsidRDefault="00100210" w:rsidP="00817E8E">
      <w:pPr>
        <w:pStyle w:val="NormalWeb"/>
        <w:numPr>
          <w:ilvl w:val="1"/>
          <w:numId w:val="26"/>
        </w:numPr>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b/>
          <w:bCs/>
          <w:color w:val="215C8A"/>
          <w:spacing w:val="-6"/>
          <w:lang w:val="it-IT"/>
        </w:rPr>
        <w:t>NORMATIVA IN MATERIA DI INVESTIMENTI ESTERI</w:t>
      </w:r>
    </w:p>
    <w:p w14:paraId="1AE1F77D" w14:textId="4E9133FB" w:rsidR="000D1CD2" w:rsidRDefault="000D1CD2"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In Nuova Zelanda vige l’Overseas Investment Act in materia di investimenti esteri.</w:t>
      </w:r>
    </w:p>
    <w:p w14:paraId="3383F555" w14:textId="02FFCCB5" w:rsidR="0066026B" w:rsidRPr="004E6B03" w:rsidRDefault="0066026B"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Pr>
          <w:rFonts w:ascii="Tahoma" w:hAnsi="Tahoma" w:cs="Tahoma"/>
          <w:color w:val="19191A"/>
          <w:shd w:val="clear" w:color="auto" w:fill="FFFFFF"/>
          <w:lang w:val="it-IT"/>
        </w:rPr>
        <w:t xml:space="preserve">È attualmente all’esame del Parlamento una riforma in senso più liberale di tale legislazione. Il provvedimento </w:t>
      </w:r>
      <w:r w:rsidR="007B28A5">
        <w:rPr>
          <w:rFonts w:ascii="Tahoma" w:hAnsi="Tahoma" w:cs="Tahoma"/>
          <w:color w:val="19191A"/>
          <w:shd w:val="clear" w:color="auto" w:fill="FFFFFF"/>
          <w:lang w:val="it-IT"/>
        </w:rPr>
        <w:t>potrebbe essere approvato in via definitiva già entro la fine del 2025.</w:t>
      </w:r>
    </w:p>
    <w:p w14:paraId="72223162" w14:textId="7E05F668" w:rsidR="000D1CD2" w:rsidRPr="004E6B03" w:rsidRDefault="000D1CD2"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lastRenderedPageBreak/>
        <w:t xml:space="preserve">L’OIA </w:t>
      </w:r>
      <w:r w:rsidR="007B28A5">
        <w:rPr>
          <w:rFonts w:ascii="Tahoma" w:hAnsi="Tahoma" w:cs="Tahoma"/>
          <w:color w:val="19191A"/>
          <w:shd w:val="clear" w:color="auto" w:fill="FFFFFF"/>
          <w:lang w:val="it-IT"/>
        </w:rPr>
        <w:t xml:space="preserve">divide </w:t>
      </w:r>
      <w:r w:rsidRPr="004E6B03">
        <w:rPr>
          <w:rFonts w:ascii="Tahoma" w:hAnsi="Tahoma" w:cs="Tahoma"/>
          <w:color w:val="19191A"/>
          <w:shd w:val="clear" w:color="auto" w:fill="FFFFFF"/>
          <w:lang w:val="it-IT"/>
        </w:rPr>
        <w:t xml:space="preserve">gli investimenti </w:t>
      </w:r>
      <w:r w:rsidR="00003AA8" w:rsidRPr="004E6B03">
        <w:rPr>
          <w:rFonts w:ascii="Tahoma" w:hAnsi="Tahoma" w:cs="Tahoma"/>
          <w:color w:val="19191A"/>
          <w:shd w:val="clear" w:color="auto" w:fill="FFFFFF"/>
          <w:lang w:val="it-IT"/>
        </w:rPr>
        <w:t>in quattro</w:t>
      </w:r>
      <w:r w:rsidR="00201CFC" w:rsidRPr="004E6B03">
        <w:rPr>
          <w:rFonts w:ascii="Tahoma" w:hAnsi="Tahoma" w:cs="Tahoma"/>
          <w:color w:val="19191A"/>
          <w:shd w:val="clear" w:color="auto" w:fill="FFFFFF"/>
          <w:lang w:val="it-IT"/>
        </w:rPr>
        <w:t xml:space="preserve"> categorie: “significant business assets”</w:t>
      </w:r>
      <w:r w:rsidR="00405D97" w:rsidRPr="004E6B03">
        <w:rPr>
          <w:rStyle w:val="FootnoteReference"/>
          <w:rFonts w:ascii="Tahoma" w:hAnsi="Tahoma" w:cs="Tahoma"/>
          <w:color w:val="19191A"/>
          <w:shd w:val="clear" w:color="auto" w:fill="FFFFFF"/>
          <w:lang w:val="it-IT"/>
        </w:rPr>
        <w:footnoteReference w:id="1"/>
      </w:r>
      <w:r w:rsidR="00201CFC" w:rsidRPr="004E6B03">
        <w:rPr>
          <w:rFonts w:ascii="Tahoma" w:hAnsi="Tahoma" w:cs="Tahoma"/>
          <w:color w:val="19191A"/>
          <w:shd w:val="clear" w:color="auto" w:fill="FFFFFF"/>
          <w:lang w:val="it-IT"/>
        </w:rPr>
        <w:t>, “sensitive land”</w:t>
      </w:r>
      <w:r w:rsidR="00405D97" w:rsidRPr="004E6B03">
        <w:rPr>
          <w:rStyle w:val="FootnoteReference"/>
          <w:rFonts w:ascii="Tahoma" w:hAnsi="Tahoma" w:cs="Tahoma"/>
          <w:color w:val="19191A"/>
          <w:shd w:val="clear" w:color="auto" w:fill="FFFFFF"/>
          <w:lang w:val="it-IT"/>
        </w:rPr>
        <w:footnoteReference w:id="2"/>
      </w:r>
      <w:r w:rsidR="00201CFC" w:rsidRPr="004E6B03">
        <w:rPr>
          <w:rFonts w:ascii="Tahoma" w:hAnsi="Tahoma" w:cs="Tahoma"/>
          <w:color w:val="19191A"/>
          <w:shd w:val="clear" w:color="auto" w:fill="FFFFFF"/>
          <w:lang w:val="it-IT"/>
        </w:rPr>
        <w:t>, “fishing quota” e “strategically important business”.</w:t>
      </w:r>
    </w:p>
    <w:p w14:paraId="04D20C8E" w14:textId="0B83B79D" w:rsidR="00413797" w:rsidRPr="004E6B03" w:rsidRDefault="00413797"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 xml:space="preserve">A supervisionare gli </w:t>
      </w:r>
      <w:r w:rsidR="00C00EAF" w:rsidRPr="004E6B03">
        <w:rPr>
          <w:rFonts w:ascii="Tahoma" w:hAnsi="Tahoma" w:cs="Tahoma"/>
          <w:color w:val="19191A"/>
          <w:shd w:val="clear" w:color="auto" w:fill="FFFFFF"/>
          <w:lang w:val="it-IT"/>
        </w:rPr>
        <w:t>investiment</w:t>
      </w:r>
      <w:r w:rsidRPr="004E6B03">
        <w:rPr>
          <w:rFonts w:ascii="Tahoma" w:hAnsi="Tahoma" w:cs="Tahoma"/>
          <w:color w:val="19191A"/>
          <w:shd w:val="clear" w:color="auto" w:fill="FFFFFF"/>
          <w:lang w:val="it-IT"/>
        </w:rPr>
        <w:t>i esteri è l’Overseas Investment Office (OIO), responsabile della valutazione delle domande di autorizzazione.</w:t>
      </w:r>
    </w:p>
    <w:p w14:paraId="609F665A" w14:textId="77777777" w:rsidR="00413797" w:rsidRPr="004E6B03" w:rsidRDefault="00413797"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I tempi dell’OIO per la valutazione di una richiesta di autorizzazione variano in base al tipo di investimento e al percorso di richiesta.</w:t>
      </w:r>
    </w:p>
    <w:p w14:paraId="3EE82564" w14:textId="3422E662" w:rsidR="00413797" w:rsidRPr="004E6B03" w:rsidRDefault="00CF0595"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Pr>
          <w:rFonts w:ascii="Tahoma" w:hAnsi="Tahoma" w:cs="Tahoma"/>
          <w:color w:val="19191A"/>
          <w:shd w:val="clear" w:color="auto" w:fill="FFFFFF"/>
          <w:lang w:val="it-IT"/>
        </w:rPr>
        <w:t>L</w:t>
      </w:r>
      <w:r w:rsidR="00413797" w:rsidRPr="004E6B03">
        <w:rPr>
          <w:rFonts w:ascii="Tahoma" w:hAnsi="Tahoma" w:cs="Tahoma"/>
          <w:color w:val="19191A"/>
          <w:shd w:val="clear" w:color="auto" w:fill="FFFFFF"/>
          <w:lang w:val="it-IT"/>
        </w:rPr>
        <w:t>’OIO deve concedere l’autorizzazione per gli asset soggetti a screening (esclusi i terreni agricoli, le quote di pesca e i terreni residenziali) entro 15 giorni lavorativi, a meno che non vi siano ragionevoli motivi per ritenere che esista un rischio per l’interesse nazionale.</w:t>
      </w:r>
    </w:p>
    <w:p w14:paraId="1A1D349E" w14:textId="507E8D84" w:rsidR="00413797" w:rsidRPr="004E6B03" w:rsidRDefault="0085181D"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lastRenderedPageBreak/>
        <w:t>È richiesta una somma da versare</w:t>
      </w:r>
      <w:r w:rsidR="007B28A5">
        <w:rPr>
          <w:rFonts w:ascii="Tahoma" w:hAnsi="Tahoma" w:cs="Tahoma"/>
          <w:color w:val="19191A"/>
          <w:shd w:val="clear" w:color="auto" w:fill="FFFFFF"/>
          <w:lang w:val="it-IT"/>
        </w:rPr>
        <w:t xml:space="preserve">, a titolo di deposito, al momento della presentazione di </w:t>
      </w:r>
      <w:r w:rsidRPr="004E6B03">
        <w:rPr>
          <w:rFonts w:ascii="Tahoma" w:hAnsi="Tahoma" w:cs="Tahoma"/>
          <w:color w:val="19191A"/>
          <w:shd w:val="clear" w:color="auto" w:fill="FFFFFF"/>
          <w:lang w:val="it-IT"/>
        </w:rPr>
        <w:t xml:space="preserve">una domanda di autorizzazione, che può </w:t>
      </w:r>
      <w:r w:rsidR="00413797" w:rsidRPr="004E6B03">
        <w:rPr>
          <w:rFonts w:ascii="Tahoma" w:hAnsi="Tahoma" w:cs="Tahoma"/>
          <w:color w:val="19191A"/>
          <w:shd w:val="clear" w:color="auto" w:fill="FFFFFF"/>
          <w:lang w:val="it-IT"/>
        </w:rPr>
        <w:t>variare da 33.600 NZD a 141.900 NZD, a seconda del tipo e della complessità della transazione.</w:t>
      </w:r>
    </w:p>
    <w:p w14:paraId="48B0989E" w14:textId="2207D89F" w:rsidR="00956851" w:rsidRPr="004E6B03" w:rsidRDefault="00956851"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In generale, tutti gli investitori devono soddisfare l’”Investor Test”, per valutare le caratteristiche e capacità dell’investitore</w:t>
      </w:r>
      <w:r w:rsidR="0059719B" w:rsidRPr="004E6B03">
        <w:rPr>
          <w:rFonts w:ascii="Tahoma" w:hAnsi="Tahoma" w:cs="Tahoma"/>
          <w:color w:val="19191A"/>
          <w:shd w:val="clear" w:color="auto" w:fill="FFFFFF"/>
          <w:lang w:val="it-IT"/>
        </w:rPr>
        <w:t>. Possono essere richiesti degli ulteriori test ossia</w:t>
      </w:r>
      <w:r w:rsidRPr="004E6B03">
        <w:rPr>
          <w:rFonts w:ascii="Tahoma" w:hAnsi="Tahoma" w:cs="Tahoma"/>
          <w:color w:val="19191A"/>
          <w:shd w:val="clear" w:color="auto" w:fill="FFFFFF"/>
          <w:lang w:val="it-IT"/>
        </w:rPr>
        <w:t xml:space="preserve"> il “Benefit Test” per dimostrare i benefici che l’investimento apporta alla Nuova Zelanda</w:t>
      </w:r>
      <w:r w:rsidR="0059719B" w:rsidRPr="004E6B03">
        <w:rPr>
          <w:rFonts w:ascii="Tahoma" w:hAnsi="Tahoma" w:cs="Tahoma"/>
          <w:color w:val="19191A"/>
          <w:shd w:val="clear" w:color="auto" w:fill="FFFFFF"/>
          <w:lang w:val="it-IT"/>
        </w:rPr>
        <w:t xml:space="preserve"> ed</w:t>
      </w:r>
      <w:r w:rsidRPr="004E6B03">
        <w:rPr>
          <w:rFonts w:ascii="Tahoma" w:hAnsi="Tahoma" w:cs="Tahoma"/>
          <w:color w:val="19191A"/>
          <w:shd w:val="clear" w:color="auto" w:fill="FFFFFF"/>
          <w:lang w:val="it-IT"/>
        </w:rPr>
        <w:t xml:space="preserve"> il “National Interest Test”, volto a tutelare gli interessi della nazione. </w:t>
      </w:r>
    </w:p>
    <w:p w14:paraId="41B177C7" w14:textId="77777777" w:rsidR="00413797" w:rsidRPr="004E6B03" w:rsidRDefault="00413797"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p>
    <w:p w14:paraId="12224602" w14:textId="036FCE59" w:rsidR="00201CFC" w:rsidRPr="004E6B03" w:rsidRDefault="00201CFC"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Esiste poi uno specifico visto dedicato agli investi</w:t>
      </w:r>
      <w:r w:rsidR="00964555" w:rsidRPr="004E6B03">
        <w:rPr>
          <w:rFonts w:ascii="Tahoma" w:hAnsi="Tahoma" w:cs="Tahoma"/>
          <w:color w:val="19191A"/>
          <w:shd w:val="clear" w:color="auto" w:fill="FFFFFF"/>
          <w:lang w:val="it-IT"/>
        </w:rPr>
        <w:t>t</w:t>
      </w:r>
      <w:r w:rsidRPr="004E6B03">
        <w:rPr>
          <w:rFonts w:ascii="Tahoma" w:hAnsi="Tahoma" w:cs="Tahoma"/>
          <w:color w:val="19191A"/>
          <w:shd w:val="clear" w:color="auto" w:fill="FFFFFF"/>
          <w:lang w:val="it-IT"/>
        </w:rPr>
        <w:t>ori stranieri, l’”Active Investor Plus Visa”</w:t>
      </w:r>
      <w:r w:rsidR="0085181D" w:rsidRPr="004E6B03">
        <w:rPr>
          <w:rFonts w:ascii="Tahoma" w:hAnsi="Tahoma" w:cs="Tahoma"/>
          <w:color w:val="19191A"/>
          <w:shd w:val="clear" w:color="auto" w:fill="FFFFFF"/>
          <w:lang w:val="it-IT"/>
        </w:rPr>
        <w:t xml:space="preserve">. </w:t>
      </w:r>
      <w:r w:rsidR="003A2118" w:rsidRPr="004E6B03">
        <w:rPr>
          <w:rFonts w:ascii="Tahoma" w:hAnsi="Tahoma" w:cs="Tahoma"/>
          <w:color w:val="19191A"/>
          <w:shd w:val="clear" w:color="auto" w:fill="FFFFFF"/>
          <w:lang w:val="it-IT"/>
        </w:rPr>
        <w:t>Questi visti</w:t>
      </w:r>
      <w:r w:rsidR="0085181D" w:rsidRPr="004E6B03">
        <w:rPr>
          <w:rFonts w:ascii="Tahoma" w:hAnsi="Tahoma" w:cs="Tahoma"/>
          <w:color w:val="19191A"/>
          <w:shd w:val="clear" w:color="auto" w:fill="FFFFFF"/>
          <w:lang w:val="it-IT"/>
        </w:rPr>
        <w:t xml:space="preserve"> </w:t>
      </w:r>
      <w:r w:rsidR="003A2118" w:rsidRPr="004E6B03">
        <w:rPr>
          <w:rFonts w:ascii="Tahoma" w:hAnsi="Tahoma" w:cs="Tahoma"/>
          <w:color w:val="19191A"/>
          <w:shd w:val="clear" w:color="auto" w:fill="FFFFFF"/>
          <w:lang w:val="it-IT"/>
        </w:rPr>
        <w:t>permettono</w:t>
      </w:r>
      <w:r w:rsidR="0085181D" w:rsidRPr="004E6B03">
        <w:rPr>
          <w:rFonts w:ascii="Tahoma" w:hAnsi="Tahoma" w:cs="Tahoma"/>
          <w:color w:val="19191A"/>
          <w:shd w:val="clear" w:color="auto" w:fill="FFFFFF"/>
          <w:lang w:val="it-IT"/>
        </w:rPr>
        <w:t xml:space="preserve"> di accedere ad</w:t>
      </w:r>
      <w:r w:rsidRPr="004E6B03">
        <w:rPr>
          <w:rFonts w:ascii="Tahoma" w:hAnsi="Tahoma" w:cs="Tahoma"/>
          <w:color w:val="19191A"/>
          <w:shd w:val="clear" w:color="auto" w:fill="FFFFFF"/>
          <w:lang w:val="it-IT"/>
        </w:rPr>
        <w:t xml:space="preserve"> un percorso specifico </w:t>
      </w:r>
      <w:r w:rsidR="007B28A5">
        <w:rPr>
          <w:rFonts w:ascii="Tahoma" w:hAnsi="Tahoma" w:cs="Tahoma"/>
          <w:color w:val="19191A"/>
          <w:shd w:val="clear" w:color="auto" w:fill="FFFFFF"/>
          <w:lang w:val="it-IT"/>
        </w:rPr>
        <w:t>che consente</w:t>
      </w:r>
      <w:r w:rsidRPr="004E6B03">
        <w:rPr>
          <w:rFonts w:ascii="Tahoma" w:hAnsi="Tahoma" w:cs="Tahoma"/>
          <w:color w:val="19191A"/>
          <w:shd w:val="clear" w:color="auto" w:fill="FFFFFF"/>
          <w:lang w:val="it-IT"/>
        </w:rPr>
        <w:t xml:space="preserve"> a chi investe cospicuamente nell’economia neozelandese di ottenere la residenza.</w:t>
      </w:r>
    </w:p>
    <w:p w14:paraId="59A80C14" w14:textId="1F96C3A5" w:rsidR="00201CFC" w:rsidRPr="004E6B03" w:rsidRDefault="007B28A5"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Pr>
          <w:rFonts w:ascii="Tahoma" w:hAnsi="Tahoma" w:cs="Tahoma"/>
          <w:color w:val="19191A"/>
          <w:shd w:val="clear" w:color="auto" w:fill="FFFFFF"/>
          <w:lang w:val="it-IT"/>
        </w:rPr>
        <w:t xml:space="preserve">Le più recenti modifiche </w:t>
      </w:r>
      <w:r w:rsidR="00201CFC" w:rsidRPr="004E6B03">
        <w:rPr>
          <w:rFonts w:ascii="Tahoma" w:hAnsi="Tahoma" w:cs="Tahoma"/>
          <w:color w:val="19191A"/>
          <w:shd w:val="clear" w:color="auto" w:fill="FFFFFF"/>
          <w:lang w:val="it-IT"/>
        </w:rPr>
        <w:t>a questo</w:t>
      </w:r>
      <w:r>
        <w:rPr>
          <w:rFonts w:ascii="Tahoma" w:hAnsi="Tahoma" w:cs="Tahoma"/>
          <w:color w:val="19191A"/>
          <w:shd w:val="clear" w:color="auto" w:fill="FFFFFF"/>
          <w:lang w:val="it-IT"/>
        </w:rPr>
        <w:t xml:space="preserve"> tipo di</w:t>
      </w:r>
      <w:r w:rsidR="00201CFC" w:rsidRPr="004E6B03">
        <w:rPr>
          <w:rFonts w:ascii="Tahoma" w:hAnsi="Tahoma" w:cs="Tahoma"/>
          <w:color w:val="19191A"/>
          <w:shd w:val="clear" w:color="auto" w:fill="FFFFFF"/>
          <w:lang w:val="it-IT"/>
        </w:rPr>
        <w:t xml:space="preserve"> visto risalgono al </w:t>
      </w:r>
      <w:r w:rsidR="00EF6119" w:rsidRPr="004E6B03">
        <w:rPr>
          <w:rFonts w:ascii="Tahoma" w:hAnsi="Tahoma" w:cs="Tahoma"/>
          <w:color w:val="19191A"/>
          <w:shd w:val="clear" w:color="auto" w:fill="FFFFFF"/>
          <w:lang w:val="it-IT"/>
        </w:rPr>
        <w:t>1° aprile</w:t>
      </w:r>
      <w:r w:rsidR="00201CFC" w:rsidRPr="004E6B03">
        <w:rPr>
          <w:rFonts w:ascii="Tahoma" w:hAnsi="Tahoma" w:cs="Tahoma"/>
          <w:color w:val="19191A"/>
          <w:shd w:val="clear" w:color="auto" w:fill="FFFFFF"/>
          <w:lang w:val="it-IT"/>
        </w:rPr>
        <w:t xml:space="preserve"> 2025</w:t>
      </w:r>
      <w:r w:rsidR="0085181D" w:rsidRPr="004E6B03">
        <w:rPr>
          <w:rFonts w:ascii="Tahoma" w:hAnsi="Tahoma" w:cs="Tahoma"/>
          <w:color w:val="19191A"/>
          <w:shd w:val="clear" w:color="auto" w:fill="FFFFFF"/>
          <w:lang w:val="it-IT"/>
        </w:rPr>
        <w:t xml:space="preserve">, </w:t>
      </w:r>
      <w:r>
        <w:rPr>
          <w:rFonts w:ascii="Tahoma" w:hAnsi="Tahoma" w:cs="Tahoma"/>
          <w:color w:val="19191A"/>
          <w:shd w:val="clear" w:color="auto" w:fill="FFFFFF"/>
          <w:lang w:val="it-IT"/>
        </w:rPr>
        <w:t>con l’introduzione di</w:t>
      </w:r>
      <w:r w:rsidR="00201CFC" w:rsidRPr="004E6B03">
        <w:rPr>
          <w:rFonts w:ascii="Tahoma" w:hAnsi="Tahoma" w:cs="Tahoma"/>
          <w:color w:val="19191A"/>
          <w:shd w:val="clear" w:color="auto" w:fill="FFFFFF"/>
          <w:lang w:val="it-IT"/>
        </w:rPr>
        <w:t xml:space="preserve"> due categorie, “Growth Category” e “Balanced Category”. </w:t>
      </w:r>
    </w:p>
    <w:p w14:paraId="10EFD62E" w14:textId="28427B00" w:rsidR="00CC163B" w:rsidRPr="004E6B03" w:rsidRDefault="00201CFC"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Nel primo caso è necessario un investimento di 5 milioni di NZD (possibile in forma di IDE oppure di fondi gestiti)</w:t>
      </w:r>
      <w:r w:rsidR="00003AA8" w:rsidRPr="004E6B03">
        <w:rPr>
          <w:rFonts w:ascii="Tahoma" w:hAnsi="Tahoma" w:cs="Tahoma"/>
          <w:color w:val="19191A"/>
          <w:shd w:val="clear" w:color="auto" w:fill="FFFFFF"/>
          <w:lang w:val="it-IT"/>
        </w:rPr>
        <w:t>, per un periodo di investimento minimo di 3 anni e</w:t>
      </w:r>
      <w:r w:rsidR="007B28A5">
        <w:rPr>
          <w:rFonts w:ascii="Tahoma" w:hAnsi="Tahoma" w:cs="Tahoma"/>
          <w:color w:val="19191A"/>
          <w:shd w:val="clear" w:color="auto" w:fill="FFFFFF"/>
          <w:lang w:val="it-IT"/>
        </w:rPr>
        <w:t>d un soggiorno di</w:t>
      </w:r>
      <w:r w:rsidR="00003AA8" w:rsidRPr="004E6B03">
        <w:rPr>
          <w:rFonts w:ascii="Tahoma" w:hAnsi="Tahoma" w:cs="Tahoma"/>
          <w:color w:val="19191A"/>
          <w:shd w:val="clear" w:color="auto" w:fill="FFFFFF"/>
          <w:lang w:val="it-IT"/>
        </w:rPr>
        <w:t xml:space="preserve"> almeno 21 giorni su suolo neozelandese</w:t>
      </w:r>
      <w:r w:rsidRPr="004E6B03">
        <w:rPr>
          <w:rFonts w:ascii="Tahoma" w:hAnsi="Tahoma" w:cs="Tahoma"/>
          <w:color w:val="19191A"/>
          <w:shd w:val="clear" w:color="auto" w:fill="FFFFFF"/>
          <w:lang w:val="it-IT"/>
        </w:rPr>
        <w:t xml:space="preserve">. </w:t>
      </w:r>
    </w:p>
    <w:p w14:paraId="0997C581" w14:textId="762E184D" w:rsidR="00201CFC" w:rsidRPr="004E6B03" w:rsidRDefault="00201CFC"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color w:val="19191A"/>
          <w:shd w:val="clear" w:color="auto" w:fill="FFFFFF"/>
          <w:lang w:val="it-IT"/>
        </w:rPr>
        <w:t xml:space="preserve">Per la seconda categoria è invece necessario un investimento di 10 milioni di NZD (possibile in forma di bond, azioni quotate, nuovi sviluppi immobiliari, sviluppi </w:t>
      </w:r>
      <w:r w:rsidR="00003AA8" w:rsidRPr="004E6B03">
        <w:rPr>
          <w:rFonts w:ascii="Tahoma" w:hAnsi="Tahoma" w:cs="Tahoma"/>
          <w:color w:val="19191A"/>
          <w:shd w:val="clear" w:color="auto" w:fill="FFFFFF"/>
          <w:lang w:val="it-IT"/>
        </w:rPr>
        <w:t>immobiliari commerciali o industriali esistenti, filantropia, IDE e fondi gestiti), per un periodo minimo di 5 anni e</w:t>
      </w:r>
      <w:r w:rsidR="007B28A5">
        <w:rPr>
          <w:rFonts w:ascii="Tahoma" w:hAnsi="Tahoma" w:cs="Tahoma"/>
          <w:color w:val="19191A"/>
          <w:shd w:val="clear" w:color="auto" w:fill="FFFFFF"/>
          <w:lang w:val="it-IT"/>
        </w:rPr>
        <w:t>d un soggiorno di</w:t>
      </w:r>
      <w:r w:rsidR="00003AA8" w:rsidRPr="004E6B03">
        <w:rPr>
          <w:rFonts w:ascii="Tahoma" w:hAnsi="Tahoma" w:cs="Tahoma"/>
          <w:color w:val="19191A"/>
          <w:shd w:val="clear" w:color="auto" w:fill="FFFFFF"/>
          <w:lang w:val="it-IT"/>
        </w:rPr>
        <w:t xml:space="preserve"> almeno 105 giorni su suolo neozelandese (che possono essere ridotti a 91 se si invest</w:t>
      </w:r>
      <w:r w:rsidR="00CC163B" w:rsidRPr="004E6B03">
        <w:rPr>
          <w:rFonts w:ascii="Tahoma" w:hAnsi="Tahoma" w:cs="Tahoma"/>
          <w:color w:val="19191A"/>
          <w:shd w:val="clear" w:color="auto" w:fill="FFFFFF"/>
          <w:lang w:val="it-IT"/>
        </w:rPr>
        <w:t>ono</w:t>
      </w:r>
      <w:r w:rsidR="00003AA8" w:rsidRPr="004E6B03">
        <w:rPr>
          <w:rFonts w:ascii="Tahoma" w:hAnsi="Tahoma" w:cs="Tahoma"/>
          <w:color w:val="19191A"/>
          <w:shd w:val="clear" w:color="auto" w:fill="FFFFFF"/>
          <w:lang w:val="it-IT"/>
        </w:rPr>
        <w:t xml:space="preserve"> 11 milioni di NZD, a 77 se si investono 12 milioni di NZD, o a 63 se si investono 13 milioni di NZD). </w:t>
      </w:r>
    </w:p>
    <w:p w14:paraId="35550264" w14:textId="3315EBF4" w:rsidR="00B73E07" w:rsidRPr="004E6B03" w:rsidRDefault="00B73E07"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Tra gennaio 2016 e giugno 2025 la maggior parte delle richieste</w:t>
      </w:r>
      <w:r w:rsidR="00CC163B" w:rsidRPr="004E6B03">
        <w:rPr>
          <w:rFonts w:ascii="Tahoma" w:hAnsi="Tahoma" w:cs="Tahoma"/>
          <w:color w:val="19191A"/>
          <w:lang w:val="it-IT"/>
        </w:rPr>
        <w:t xml:space="preserve"> europee</w:t>
      </w:r>
      <w:r w:rsidRPr="004E6B03">
        <w:rPr>
          <w:rFonts w:ascii="Tahoma" w:hAnsi="Tahoma" w:cs="Tahoma"/>
          <w:color w:val="19191A"/>
          <w:lang w:val="it-IT"/>
        </w:rPr>
        <w:t xml:space="preserve"> per l’”Investor Visa” sono giunte da</w:t>
      </w:r>
      <w:r w:rsidR="007B28A5">
        <w:rPr>
          <w:rFonts w:ascii="Tahoma" w:hAnsi="Tahoma" w:cs="Tahoma"/>
          <w:color w:val="19191A"/>
          <w:lang w:val="it-IT"/>
        </w:rPr>
        <w:t xml:space="preserve"> </w:t>
      </w:r>
      <w:r w:rsidRPr="004E6B03">
        <w:rPr>
          <w:rFonts w:ascii="Tahoma" w:hAnsi="Tahoma" w:cs="Tahoma"/>
          <w:color w:val="19191A"/>
          <w:lang w:val="it-IT"/>
        </w:rPr>
        <w:t xml:space="preserve">Germania, seguita da Francia, Austria, Olanda, Repubblica Ceca, Belgio, Polonia e Italia (che </w:t>
      </w:r>
      <w:r w:rsidR="00CC163B" w:rsidRPr="004E6B03">
        <w:rPr>
          <w:rFonts w:ascii="Tahoma" w:hAnsi="Tahoma" w:cs="Tahoma"/>
          <w:color w:val="19191A"/>
          <w:lang w:val="it-IT"/>
        </w:rPr>
        <w:t>si è vista approvare</w:t>
      </w:r>
      <w:r w:rsidRPr="004E6B03">
        <w:rPr>
          <w:rFonts w:ascii="Tahoma" w:hAnsi="Tahoma" w:cs="Tahoma"/>
          <w:color w:val="19191A"/>
          <w:lang w:val="it-IT"/>
        </w:rPr>
        <w:t xml:space="preserve"> 15 visti su 27 richieste).</w:t>
      </w:r>
    </w:p>
    <w:p w14:paraId="0779A09E" w14:textId="4924061C" w:rsidR="001D7F74" w:rsidRPr="004E6B03" w:rsidRDefault="00B73E07"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In generale il tasso di approvazione per le richieste europee per l’Investor Visa si attesta attorno al 70%.</w:t>
      </w:r>
    </w:p>
    <w:p w14:paraId="060B2B8E" w14:textId="615E9C3C" w:rsidR="00E84038" w:rsidRPr="004E6B03" w:rsidRDefault="00E84038" w:rsidP="00817E8E">
      <w:pPr>
        <w:pStyle w:val="NormalWeb"/>
        <w:shd w:val="clear" w:color="auto" w:fill="FFFFFF"/>
        <w:spacing w:before="0" w:beforeAutospacing="0" w:line="360" w:lineRule="auto"/>
        <w:contextualSpacing/>
        <w:jc w:val="both"/>
        <w:rPr>
          <w:rFonts w:ascii="Tahoma" w:hAnsi="Tahoma" w:cs="Tahoma"/>
          <w:color w:val="19191A"/>
          <w:lang w:val="it-IT"/>
        </w:rPr>
      </w:pPr>
      <w:r w:rsidRPr="004E6B03">
        <w:rPr>
          <w:rFonts w:ascii="Tahoma" w:hAnsi="Tahoma" w:cs="Tahoma"/>
          <w:color w:val="19191A"/>
          <w:lang w:val="it-IT"/>
        </w:rPr>
        <w:t xml:space="preserve">Di seguito si riporta il procedimento </w:t>
      </w:r>
      <w:r w:rsidR="0093595A" w:rsidRPr="004E6B03">
        <w:rPr>
          <w:rFonts w:ascii="Tahoma" w:hAnsi="Tahoma" w:cs="Tahoma"/>
          <w:color w:val="19191A"/>
          <w:lang w:val="it-IT"/>
        </w:rPr>
        <w:t>di screening degli investimenti.</w:t>
      </w:r>
    </w:p>
    <w:p w14:paraId="367FBE40" w14:textId="6B09C7FB" w:rsidR="00ED1D58" w:rsidRPr="00ED1D58" w:rsidRDefault="00E84038"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4E6B03">
        <w:rPr>
          <w:rFonts w:ascii="Tahoma" w:hAnsi="Tahoma" w:cs="Tahoma"/>
          <w:noProof/>
          <w:color w:val="19191A"/>
          <w:shd w:val="clear" w:color="auto" w:fill="FFFFFF"/>
          <w:lang w:val="it-IT"/>
        </w:rPr>
        <w:lastRenderedPageBreak/>
        <w:drawing>
          <wp:inline distT="0" distB="0" distL="0" distR="0" wp14:anchorId="3108A727" wp14:editId="5B46E09E">
            <wp:extent cx="5731510" cy="27387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738755"/>
                    </a:xfrm>
                    <a:prstGeom prst="rect">
                      <a:avLst/>
                    </a:prstGeom>
                  </pic:spPr>
                </pic:pic>
              </a:graphicData>
            </a:graphic>
          </wp:inline>
        </w:drawing>
      </w:r>
    </w:p>
    <w:p w14:paraId="7C8C5681" w14:textId="33EC2D8F" w:rsidR="0013460F" w:rsidRPr="00E71D9B" w:rsidRDefault="006764C3" w:rsidP="00817E8E">
      <w:pPr>
        <w:pStyle w:val="NormalWeb"/>
        <w:shd w:val="clear" w:color="auto" w:fill="FFFFFF"/>
        <w:spacing w:before="0" w:beforeAutospacing="0" w:line="360" w:lineRule="auto"/>
        <w:contextualSpacing/>
        <w:jc w:val="both"/>
        <w:rPr>
          <w:rFonts w:ascii="Tahoma" w:hAnsi="Tahoma" w:cs="Tahoma"/>
          <w:i/>
          <w:iCs/>
          <w:color w:val="19191A"/>
          <w:sz w:val="20"/>
          <w:szCs w:val="20"/>
          <w:shd w:val="clear" w:color="auto" w:fill="FFFFFF"/>
        </w:rPr>
      </w:pPr>
      <w:r w:rsidRPr="00E71D9B">
        <w:rPr>
          <w:rFonts w:ascii="Tahoma" w:hAnsi="Tahoma" w:cs="Tahoma"/>
          <w:i/>
          <w:iCs/>
          <w:color w:val="19191A"/>
          <w:sz w:val="20"/>
          <w:szCs w:val="20"/>
          <w:shd w:val="clear" w:color="auto" w:fill="FFFFFF"/>
        </w:rPr>
        <w:t>Fonte: I</w:t>
      </w:r>
      <w:r w:rsidR="00E71D9B" w:rsidRPr="00E71D9B">
        <w:rPr>
          <w:rFonts w:ascii="Tahoma" w:hAnsi="Tahoma" w:cs="Tahoma"/>
          <w:i/>
          <w:iCs/>
          <w:color w:val="19191A"/>
          <w:sz w:val="20"/>
          <w:szCs w:val="20"/>
          <w:shd w:val="clear" w:color="auto" w:fill="FFFFFF"/>
        </w:rPr>
        <w:t>nfomercati</w:t>
      </w:r>
    </w:p>
    <w:p w14:paraId="7B6F5232" w14:textId="77777777" w:rsidR="007B28A5" w:rsidRDefault="007B28A5"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p>
    <w:p w14:paraId="6253ADA1" w14:textId="15CE7B4F" w:rsidR="007B28A5" w:rsidRPr="00A70214" w:rsidRDefault="007B28A5" w:rsidP="00817E8E">
      <w:pPr>
        <w:pStyle w:val="NormalWeb"/>
        <w:numPr>
          <w:ilvl w:val="1"/>
          <w:numId w:val="26"/>
        </w:numPr>
        <w:shd w:val="clear" w:color="auto" w:fill="FFFFFF"/>
        <w:spacing w:before="0" w:beforeAutospacing="0" w:line="360" w:lineRule="auto"/>
        <w:contextualSpacing/>
        <w:jc w:val="both"/>
        <w:rPr>
          <w:rFonts w:ascii="Tahoma" w:hAnsi="Tahoma" w:cs="Tahoma"/>
          <w:color w:val="19191A"/>
          <w:shd w:val="clear" w:color="auto" w:fill="FFFFFF"/>
          <w:lang w:val="it-IT"/>
        </w:rPr>
      </w:pPr>
      <w:r w:rsidRPr="00A70214">
        <w:rPr>
          <w:rFonts w:ascii="Tahoma" w:hAnsi="Tahoma" w:cs="Tahoma"/>
          <w:b/>
          <w:bCs/>
          <w:color w:val="215C8A"/>
          <w:spacing w:val="-6"/>
          <w:lang w:val="it-IT"/>
        </w:rPr>
        <w:t>Invest New Zealand</w:t>
      </w:r>
    </w:p>
    <w:p w14:paraId="2D5D526D" w14:textId="45C780F4" w:rsidR="006E655B" w:rsidRPr="00F1349E" w:rsidRDefault="006E655B"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r w:rsidRPr="006E655B">
        <w:rPr>
          <w:rFonts w:ascii="Tahoma" w:hAnsi="Tahoma" w:cs="Tahoma"/>
          <w:color w:val="000000" w:themeColor="text1"/>
          <w:spacing w:val="-6"/>
          <w:lang w:val="it-IT"/>
        </w:rPr>
        <w:t>Invest New Zealand è l’agenzi</w:t>
      </w:r>
      <w:r>
        <w:rPr>
          <w:rFonts w:ascii="Tahoma" w:hAnsi="Tahoma" w:cs="Tahoma"/>
          <w:color w:val="000000" w:themeColor="text1"/>
          <w:spacing w:val="-6"/>
          <w:lang w:val="it-IT"/>
        </w:rPr>
        <w:t>a del Governo neozelandese, istituita a luglio 2025 per promuovere e facilitare gli investimenti esteri in Nuova Zelanda</w:t>
      </w:r>
      <w:r w:rsidR="00F1349E">
        <w:rPr>
          <w:rFonts w:ascii="Tahoma" w:hAnsi="Tahoma" w:cs="Tahoma"/>
          <w:color w:val="000000" w:themeColor="text1"/>
          <w:spacing w:val="-6"/>
          <w:lang w:val="it-IT"/>
        </w:rPr>
        <w:t xml:space="preserve"> </w:t>
      </w:r>
      <w:r w:rsidR="00F1349E" w:rsidRPr="00F1349E">
        <w:rPr>
          <w:rFonts w:ascii="Tahoma" w:hAnsi="Tahoma" w:cs="Tahoma"/>
          <w:color w:val="000000" w:themeColor="text1"/>
          <w:spacing w:val="-6"/>
          <w:lang w:val="it-IT"/>
        </w:rPr>
        <w:t>(</w:t>
      </w:r>
      <w:hyperlink r:id="rId33" w:history="1">
        <w:r w:rsidR="00F1349E" w:rsidRPr="00F1349E">
          <w:rPr>
            <w:rStyle w:val="Hyperlink"/>
            <w:rFonts w:ascii="Tahoma" w:hAnsi="Tahoma" w:cs="Tahoma"/>
            <w:lang w:val="it-IT"/>
          </w:rPr>
          <w:t>About us | Invest New Zealand</w:t>
        </w:r>
      </w:hyperlink>
      <w:r w:rsidR="00F1349E" w:rsidRPr="00F1349E">
        <w:rPr>
          <w:rFonts w:ascii="Tahoma" w:hAnsi="Tahoma" w:cs="Tahoma"/>
          <w:lang w:val="it-IT"/>
        </w:rPr>
        <w:t>).</w:t>
      </w:r>
    </w:p>
    <w:p w14:paraId="7F244FA1" w14:textId="6E03069C" w:rsidR="006E0D2A" w:rsidRDefault="006E0D2A"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r>
        <w:rPr>
          <w:rFonts w:ascii="Tahoma" w:hAnsi="Tahoma" w:cs="Tahoma"/>
          <w:color w:val="000000" w:themeColor="text1"/>
          <w:spacing w:val="-6"/>
          <w:lang w:val="it-IT"/>
        </w:rPr>
        <w:t xml:space="preserve">Gli investimenti diretti esteri sono attualmente un fattore critico nella crescita economica del Paese e l’attuale Governo desidera non solo facilitare l’influsso di capitali, ma anche </w:t>
      </w:r>
      <w:r w:rsidR="0095384C">
        <w:rPr>
          <w:rFonts w:ascii="Tahoma" w:hAnsi="Tahoma" w:cs="Tahoma"/>
          <w:color w:val="000000" w:themeColor="text1"/>
          <w:spacing w:val="-6"/>
          <w:lang w:val="it-IT"/>
        </w:rPr>
        <w:t xml:space="preserve">attrarre persone qualificate e talenti per rafforzare le conoscenze e capacità della Nuova Zelanda. </w:t>
      </w:r>
    </w:p>
    <w:p w14:paraId="10BD0E2B" w14:textId="7449D947" w:rsidR="006E0D2A" w:rsidRDefault="006E0D2A"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r>
        <w:rPr>
          <w:rFonts w:ascii="Tahoma" w:hAnsi="Tahoma" w:cs="Tahoma"/>
          <w:color w:val="000000" w:themeColor="text1"/>
          <w:spacing w:val="-6"/>
          <w:lang w:val="it-IT"/>
        </w:rPr>
        <w:t>Questa agenzia funge da “ponte” tra gli investitori stranieri e le opportunità locali in quanto mette in contatto aziende globali con imprese neozelandesi, istituiti di ricerca o progetti che ricercano finanziamenti o competenze.</w:t>
      </w:r>
    </w:p>
    <w:p w14:paraId="4943120A" w14:textId="5551FBDD" w:rsidR="007B28A5" w:rsidRPr="00292065" w:rsidRDefault="006E0D2A"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Pr>
          <w:rFonts w:ascii="Tahoma" w:hAnsi="Tahoma" w:cs="Tahoma"/>
          <w:color w:val="000000" w:themeColor="text1"/>
          <w:spacing w:val="-6"/>
          <w:lang w:val="it-IT"/>
        </w:rPr>
        <w:t xml:space="preserve">Gli investitori esteri possono inoltre richiedere di essere affiancati nella richiesta dell’Active Investor Plus Visa. </w:t>
      </w:r>
    </w:p>
    <w:p w14:paraId="3E272731" w14:textId="68AB7D71" w:rsidR="007B28A5" w:rsidRDefault="007B28A5"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p>
    <w:p w14:paraId="15F8417A" w14:textId="77777777" w:rsidR="00A70214" w:rsidRPr="00292065" w:rsidRDefault="00A70214"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p>
    <w:p w14:paraId="6A35504C" w14:textId="7149C7F0" w:rsidR="00604F96" w:rsidRDefault="005B4556" w:rsidP="00817E8E">
      <w:pPr>
        <w:pStyle w:val="NormalWeb"/>
        <w:numPr>
          <w:ilvl w:val="0"/>
          <w:numId w:val="26"/>
        </w:numPr>
        <w:shd w:val="clear" w:color="auto" w:fill="FFFFFF"/>
        <w:spacing w:before="0" w:beforeAutospacing="0" w:line="360" w:lineRule="auto"/>
        <w:contextualSpacing/>
        <w:jc w:val="both"/>
        <w:rPr>
          <w:rFonts w:ascii="Tahoma" w:hAnsi="Tahoma" w:cs="Tahoma"/>
          <w:b/>
          <w:bCs/>
          <w:color w:val="215C8A"/>
          <w:spacing w:val="-6"/>
          <w:lang w:val="it-IT"/>
        </w:rPr>
      </w:pPr>
      <w:r w:rsidRPr="004E6B03">
        <w:rPr>
          <w:rFonts w:ascii="Tahoma" w:hAnsi="Tahoma" w:cs="Tahoma"/>
          <w:b/>
          <w:bCs/>
          <w:color w:val="215C8A"/>
          <w:spacing w:val="-6"/>
          <w:lang w:val="it-IT"/>
        </w:rPr>
        <w:t xml:space="preserve">SETTORI E </w:t>
      </w:r>
      <w:r w:rsidR="006764C3" w:rsidRPr="004E6B03">
        <w:rPr>
          <w:rFonts w:ascii="Tahoma" w:hAnsi="Tahoma" w:cs="Tahoma"/>
          <w:b/>
          <w:bCs/>
          <w:color w:val="215C8A"/>
          <w:spacing w:val="-6"/>
          <w:lang w:val="it-IT"/>
        </w:rPr>
        <w:t>OPPORTUNITÀ DI</w:t>
      </w:r>
      <w:r w:rsidRPr="004E6B03">
        <w:rPr>
          <w:rFonts w:ascii="Tahoma" w:hAnsi="Tahoma" w:cs="Tahoma"/>
          <w:b/>
          <w:bCs/>
          <w:color w:val="215C8A"/>
          <w:spacing w:val="-6"/>
          <w:lang w:val="it-IT"/>
        </w:rPr>
        <w:t xml:space="preserve"> INVESTIMENTO PER LE IMPRESE ITALIANE</w:t>
      </w:r>
    </w:p>
    <w:p w14:paraId="368847C9" w14:textId="77777777" w:rsidR="007B28A5" w:rsidRDefault="007B28A5" w:rsidP="00817E8E">
      <w:pPr>
        <w:pStyle w:val="NormalWeb"/>
        <w:shd w:val="clear" w:color="auto" w:fill="FFFFFF"/>
        <w:spacing w:before="0" w:beforeAutospacing="0" w:line="360" w:lineRule="auto"/>
        <w:ind w:left="450"/>
        <w:contextualSpacing/>
        <w:jc w:val="both"/>
        <w:rPr>
          <w:rFonts w:ascii="Tahoma" w:hAnsi="Tahoma" w:cs="Tahoma"/>
          <w:b/>
          <w:bCs/>
          <w:color w:val="215C8A"/>
          <w:spacing w:val="-6"/>
          <w:lang w:val="it-IT"/>
        </w:rPr>
      </w:pPr>
    </w:p>
    <w:p w14:paraId="7A73CF35" w14:textId="62B9E780" w:rsidR="00D76F1A" w:rsidRDefault="00D76F1A" w:rsidP="00817E8E">
      <w:pPr>
        <w:pStyle w:val="NormalWeb"/>
        <w:shd w:val="clear" w:color="auto" w:fill="FFFFFF"/>
        <w:spacing w:before="0" w:beforeAutospacing="0" w:line="360" w:lineRule="auto"/>
        <w:contextualSpacing/>
        <w:jc w:val="both"/>
        <w:rPr>
          <w:rFonts w:ascii="Tahoma" w:hAnsi="Tahoma" w:cs="Tahoma"/>
          <w:lang w:val="it-IT"/>
        </w:rPr>
      </w:pPr>
      <w:r w:rsidRPr="00604F96">
        <w:rPr>
          <w:rFonts w:ascii="Tahoma" w:hAnsi="Tahoma" w:cs="Tahoma"/>
          <w:lang w:val="it-IT"/>
        </w:rPr>
        <w:t xml:space="preserve">La Nuova Zelanda offre un panorama di opportunità di investimento estremamente diversificato, fondato su punti di forza consolidati e su settori emergenti ad alto potenziale. Il Paese può contare su risorse naturali abbondanti, know-how tecnologico </w:t>
      </w:r>
      <w:r w:rsidRPr="00604F96">
        <w:rPr>
          <w:rFonts w:ascii="Tahoma" w:hAnsi="Tahoma" w:cs="Tahoma"/>
          <w:lang w:val="it-IT"/>
        </w:rPr>
        <w:lastRenderedPageBreak/>
        <w:t>avanzato e un impegno concreto verso la sostenibilità e l’economia circolare, fattori che ne consolidano il ruolo di hub strategico per investimenti innovativi.</w:t>
      </w:r>
    </w:p>
    <w:p w14:paraId="10F2FF68" w14:textId="77777777" w:rsidR="0015602D" w:rsidRDefault="0015602D" w:rsidP="00817E8E">
      <w:pPr>
        <w:pStyle w:val="NormalWeb"/>
        <w:shd w:val="clear" w:color="auto" w:fill="FFFFFF"/>
        <w:spacing w:before="0" w:beforeAutospacing="0" w:line="360" w:lineRule="auto"/>
        <w:contextualSpacing/>
        <w:jc w:val="both"/>
        <w:rPr>
          <w:rFonts w:ascii="Tahoma" w:hAnsi="Tahoma" w:cs="Tahoma"/>
          <w:lang w:val="it-IT"/>
        </w:rPr>
      </w:pPr>
    </w:p>
    <w:p w14:paraId="1042C5AB" w14:textId="6D7F809E" w:rsidR="00604F96" w:rsidRPr="00ED1D58" w:rsidRDefault="00ED1D58" w:rsidP="00817E8E">
      <w:pPr>
        <w:pStyle w:val="ListParagraph"/>
        <w:numPr>
          <w:ilvl w:val="1"/>
          <w:numId w:val="26"/>
        </w:numPr>
        <w:spacing w:before="100" w:beforeAutospacing="1" w:after="100" w:afterAutospacing="1" w:line="360" w:lineRule="auto"/>
        <w:rPr>
          <w:rFonts w:ascii="Tahoma" w:eastAsia="Times New Roman" w:hAnsi="Tahoma" w:cs="Tahoma"/>
          <w:color w:val="2F5496" w:themeColor="accent1" w:themeShade="BF"/>
          <w:sz w:val="24"/>
          <w:szCs w:val="24"/>
          <w:lang w:val="it-IT" w:eastAsia="en-NZ"/>
        </w:rPr>
      </w:pPr>
      <w:r w:rsidRPr="00ED1D58">
        <w:rPr>
          <w:rFonts w:ascii="Tahoma" w:eastAsia="Times New Roman" w:hAnsi="Tahoma" w:cs="Tahoma"/>
          <w:b/>
          <w:bCs/>
          <w:color w:val="2F5496" w:themeColor="accent1" w:themeShade="BF"/>
          <w:sz w:val="24"/>
          <w:szCs w:val="24"/>
          <w:lang w:val="it-IT" w:eastAsia="en-NZ"/>
        </w:rPr>
        <w:t>ALLEVAMENTO E ACQUACOLTURA</w:t>
      </w:r>
    </w:p>
    <w:p w14:paraId="6C96091C" w14:textId="1D6E6F95" w:rsidR="00132D63" w:rsidRDefault="00D76F1A" w:rsidP="00817E8E">
      <w:p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sz w:val="24"/>
          <w:szCs w:val="24"/>
          <w:lang w:val="it-IT" w:eastAsia="en-NZ"/>
        </w:rPr>
        <w:t>Gli investimenti nelle produzioni locali di mangimi resilienti e sostenibili, unitamente a programmi di selezione genetica volti a incrementare l’efficienza, rappresentano leve fondamentali per rafforzare la competitività del settore. Parallelamente, il potenziamento delle capacità di ricerca e sviluppo e dell’expertise tecnica posiziona la Nuova Zelanda come leader globale nell’acquacoltura. Le strategie operative comprendono l’ampliamento degli allevamenti in mare aperto tramite sistemi di ormeggio avanzati, impianti a ricircolo (RAS) a terra e piattaforme galleggianti appositamente progettate. Questi interventi, integrati da imbarcazioni e chiatte dedicate, garantiscono resilienza e scalabilità delle operazioni.</w:t>
      </w:r>
    </w:p>
    <w:p w14:paraId="30BB64F2" w14:textId="77777777" w:rsidR="0015602D" w:rsidRPr="0015602D" w:rsidRDefault="0015602D" w:rsidP="00817E8E">
      <w:pPr>
        <w:spacing w:before="100" w:beforeAutospacing="1" w:after="100" w:afterAutospacing="1" w:line="360" w:lineRule="auto"/>
        <w:rPr>
          <w:rFonts w:ascii="Tahoma" w:eastAsia="Times New Roman" w:hAnsi="Tahoma" w:cs="Tahoma"/>
          <w:sz w:val="24"/>
          <w:szCs w:val="24"/>
          <w:lang w:val="it-IT" w:eastAsia="en-NZ"/>
        </w:rPr>
      </w:pPr>
    </w:p>
    <w:p w14:paraId="721F5FE8" w14:textId="1CA5D1BB" w:rsidR="00604F96" w:rsidRPr="00ED1D58" w:rsidRDefault="00ED1D58" w:rsidP="00817E8E">
      <w:pPr>
        <w:pStyle w:val="ListParagraph"/>
        <w:numPr>
          <w:ilvl w:val="1"/>
          <w:numId w:val="26"/>
        </w:numPr>
        <w:spacing w:before="100" w:beforeAutospacing="1" w:after="100" w:afterAutospacing="1" w:line="360" w:lineRule="auto"/>
        <w:rPr>
          <w:rFonts w:ascii="Tahoma" w:eastAsia="Times New Roman" w:hAnsi="Tahoma" w:cs="Tahoma"/>
          <w:sz w:val="24"/>
          <w:szCs w:val="24"/>
          <w:lang w:val="it-IT" w:eastAsia="en-NZ"/>
        </w:rPr>
      </w:pPr>
      <w:r w:rsidRPr="00ED1D58">
        <w:rPr>
          <w:rFonts w:ascii="Tahoma" w:eastAsia="Times New Roman" w:hAnsi="Tahoma" w:cs="Tahoma"/>
          <w:b/>
          <w:bCs/>
          <w:color w:val="2F5496" w:themeColor="accent1" w:themeShade="BF"/>
          <w:sz w:val="24"/>
          <w:szCs w:val="24"/>
          <w:lang w:val="it-IT" w:eastAsia="en-NZ"/>
        </w:rPr>
        <w:t>RACCOLTA, TRASFORMAZIONE E LOGISTICA</w:t>
      </w:r>
    </w:p>
    <w:p w14:paraId="1F833965" w14:textId="72F19FEA" w:rsidR="00D76F1A" w:rsidRDefault="00D76F1A" w:rsidP="00817E8E">
      <w:p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sz w:val="24"/>
          <w:szCs w:val="24"/>
          <w:lang w:val="it-IT" w:eastAsia="en-NZ"/>
        </w:rPr>
        <w:t xml:space="preserve">La creazione di prodotti nutraceutici di alto valore, il miglioramento delle tecniche di congelamento per il trasporto marittimo e l’ottimizzazione dei processi di trasformazione consentono di prolungare la </w:t>
      </w:r>
      <w:r w:rsidR="0015602D">
        <w:rPr>
          <w:rFonts w:ascii="Tahoma" w:eastAsia="Times New Roman" w:hAnsi="Tahoma" w:cs="Tahoma"/>
          <w:sz w:val="24"/>
          <w:szCs w:val="24"/>
          <w:lang w:val="it-IT" w:eastAsia="en-NZ"/>
        </w:rPr>
        <w:t>“</w:t>
      </w:r>
      <w:r w:rsidRPr="00604F96">
        <w:rPr>
          <w:rFonts w:ascii="Tahoma" w:eastAsia="Times New Roman" w:hAnsi="Tahoma" w:cs="Tahoma"/>
          <w:sz w:val="24"/>
          <w:szCs w:val="24"/>
          <w:lang w:val="it-IT" w:eastAsia="en-NZ"/>
        </w:rPr>
        <w:t>shelf-life</w:t>
      </w:r>
      <w:r w:rsidR="0015602D">
        <w:rPr>
          <w:rFonts w:ascii="Tahoma" w:eastAsia="Times New Roman" w:hAnsi="Tahoma" w:cs="Tahoma"/>
          <w:sz w:val="24"/>
          <w:szCs w:val="24"/>
          <w:lang w:val="it-IT" w:eastAsia="en-NZ"/>
        </w:rPr>
        <w:t>”</w:t>
      </w:r>
      <w:r w:rsidRPr="00604F96">
        <w:rPr>
          <w:rFonts w:ascii="Tahoma" w:eastAsia="Times New Roman" w:hAnsi="Tahoma" w:cs="Tahoma"/>
          <w:sz w:val="24"/>
          <w:szCs w:val="24"/>
          <w:lang w:val="it-IT" w:eastAsia="en-NZ"/>
        </w:rPr>
        <w:t xml:space="preserve"> e preservare la qualità per i mercati </w:t>
      </w:r>
      <w:r w:rsidR="0015602D">
        <w:rPr>
          <w:rFonts w:ascii="Tahoma" w:eastAsia="Times New Roman" w:hAnsi="Tahoma" w:cs="Tahoma"/>
          <w:sz w:val="24"/>
          <w:szCs w:val="24"/>
          <w:lang w:val="it-IT" w:eastAsia="en-NZ"/>
        </w:rPr>
        <w:t>“</w:t>
      </w:r>
      <w:r w:rsidRPr="00604F96">
        <w:rPr>
          <w:rFonts w:ascii="Tahoma" w:eastAsia="Times New Roman" w:hAnsi="Tahoma" w:cs="Tahoma"/>
          <w:sz w:val="24"/>
          <w:szCs w:val="24"/>
          <w:lang w:val="it-IT" w:eastAsia="en-NZ"/>
        </w:rPr>
        <w:t>premium</w:t>
      </w:r>
      <w:r w:rsidR="0015602D">
        <w:rPr>
          <w:rFonts w:ascii="Tahoma" w:eastAsia="Times New Roman" w:hAnsi="Tahoma" w:cs="Tahoma"/>
          <w:sz w:val="24"/>
          <w:szCs w:val="24"/>
          <w:lang w:val="it-IT" w:eastAsia="en-NZ"/>
        </w:rPr>
        <w:t>”</w:t>
      </w:r>
      <w:r w:rsidRPr="00604F96">
        <w:rPr>
          <w:rFonts w:ascii="Tahoma" w:eastAsia="Times New Roman" w:hAnsi="Tahoma" w:cs="Tahoma"/>
          <w:sz w:val="24"/>
          <w:szCs w:val="24"/>
          <w:lang w:val="it-IT" w:eastAsia="en-NZ"/>
        </w:rPr>
        <w:t>. L’efficienza della catena logistica è assicurata dallo sviluppo di infrastrutture per il trasporto aereo interno e per la gestione della catena del freddo, garantendo consegne rapide e sicure verso hub di export internazionali.</w:t>
      </w:r>
    </w:p>
    <w:p w14:paraId="614CEE25" w14:textId="77777777" w:rsidR="00132D63" w:rsidRPr="001566E5" w:rsidRDefault="00132D63" w:rsidP="00817E8E">
      <w:pPr>
        <w:spacing w:before="100" w:beforeAutospacing="1" w:after="100" w:afterAutospacing="1" w:line="360" w:lineRule="auto"/>
        <w:rPr>
          <w:rFonts w:ascii="Tahoma" w:eastAsia="Times New Roman" w:hAnsi="Tahoma" w:cs="Tahoma"/>
          <w:sz w:val="24"/>
          <w:szCs w:val="24"/>
          <w:lang w:val="it-IT" w:eastAsia="en-NZ"/>
        </w:rPr>
      </w:pPr>
    </w:p>
    <w:p w14:paraId="20D8390A" w14:textId="5C859FB2" w:rsidR="00604F96" w:rsidRDefault="00ED1D58" w:rsidP="00817E8E">
      <w:pPr>
        <w:pStyle w:val="ListParagraph"/>
        <w:numPr>
          <w:ilvl w:val="1"/>
          <w:numId w:val="26"/>
        </w:num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b/>
          <w:bCs/>
          <w:color w:val="2F5496" w:themeColor="accent1" w:themeShade="BF"/>
          <w:sz w:val="24"/>
          <w:szCs w:val="24"/>
          <w:lang w:val="it-IT" w:eastAsia="en-NZ"/>
        </w:rPr>
        <w:t>PRODUZIONE DI MATERIE PRIME E BIOENERGIA</w:t>
      </w:r>
    </w:p>
    <w:p w14:paraId="2D1986DD" w14:textId="5145E84E" w:rsidR="00604F96" w:rsidRDefault="00D76F1A" w:rsidP="00817E8E">
      <w:p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sz w:val="24"/>
          <w:szCs w:val="24"/>
          <w:lang w:val="it-IT" w:eastAsia="en-NZ"/>
        </w:rPr>
        <w:t xml:space="preserve">L’espansione delle piantagioni forestali su terreni di qualità da bassa a media mira a soddisfare la domanda di biomassa legnosa e a generare benefici ecosistemici. Attraverso partnership con operatori forestali e incentivi governativi, è possibile aumentare l’offerta sostenibile di materie prime. La conversione di queste risorse in </w:t>
      </w:r>
      <w:r w:rsidRPr="00604F96">
        <w:rPr>
          <w:rFonts w:ascii="Tahoma" w:eastAsia="Times New Roman" w:hAnsi="Tahoma" w:cs="Tahoma"/>
          <w:sz w:val="24"/>
          <w:szCs w:val="24"/>
          <w:lang w:val="it-IT" w:eastAsia="en-NZ"/>
        </w:rPr>
        <w:lastRenderedPageBreak/>
        <w:t>biocarburanti, mediante impianti collocati vicino ai centri di produzione, riduce i costi logistici e serve i settori dell’aviazione, del trasporto marittimo e del trasporto pesante. Tecnologie emergenti quali la pirolisi rapida e la conversione enzimatica assicurano una crescita scalabile, mentre l’utilizzo di sottoprodotti industriali favorisce la simbiosi tra bioenergia, risorse industriali e potenzialità geotermiche locali. Particolare attenzione è dedicata ai biocarburanti liquidi “drop-in”, che permettono di ridurre l’impiego di combustibili fossili sfruttando le infrastrutture esistenti.</w:t>
      </w:r>
    </w:p>
    <w:p w14:paraId="01EDD1F5" w14:textId="77777777" w:rsidR="00132D63" w:rsidRPr="001566E5" w:rsidRDefault="00132D63" w:rsidP="00817E8E">
      <w:pPr>
        <w:spacing w:before="100" w:beforeAutospacing="1" w:after="100" w:afterAutospacing="1" w:line="360" w:lineRule="auto"/>
        <w:rPr>
          <w:rFonts w:ascii="Tahoma" w:eastAsia="Times New Roman" w:hAnsi="Tahoma" w:cs="Tahoma"/>
          <w:sz w:val="24"/>
          <w:szCs w:val="24"/>
          <w:lang w:val="it-IT" w:eastAsia="en-NZ"/>
        </w:rPr>
      </w:pPr>
    </w:p>
    <w:p w14:paraId="064CE8E5" w14:textId="2CEDBC4A" w:rsidR="00604F96" w:rsidRDefault="00331818" w:rsidP="00817E8E">
      <w:pPr>
        <w:pStyle w:val="ListParagraph"/>
        <w:numPr>
          <w:ilvl w:val="1"/>
          <w:numId w:val="26"/>
        </w:num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b/>
          <w:bCs/>
          <w:color w:val="2F5496" w:themeColor="accent1" w:themeShade="BF"/>
          <w:sz w:val="24"/>
          <w:szCs w:val="24"/>
          <w:lang w:val="it-IT" w:eastAsia="en-NZ"/>
        </w:rPr>
        <w:t>PROTEINE ALTERNATIVE E AGRICOLTURA RIGENERATIVA</w:t>
      </w:r>
    </w:p>
    <w:p w14:paraId="399180AB" w14:textId="3AA3E7A3" w:rsidR="0015602D" w:rsidRDefault="00D76F1A" w:rsidP="00817E8E">
      <w:p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sz w:val="24"/>
          <w:szCs w:val="24"/>
          <w:lang w:val="it-IT" w:eastAsia="en-NZ"/>
        </w:rPr>
        <w:t>Il settore delle proteine alternative offre opportunità di investimento in prodotti vegetali e coltivati in laboratorio, in grado di soddisfare la crescente domanda di alimenti sostenibili ed etici. L’agricoltura rigenerativa, volta a migliorare la salute del suolo, ridurre gli sprechi e limitare l’impatto ambientale, risponde alle aspettative dei consumatori per trasparenza e sostenibilità. Tecnologie avanzate come l’agricoltura intelligente, la blockchain, l’agricoltura di precisione, insieme a strumenti basati su AI e big data, consentono di incrementare l’efficienza, la tracciabilità e la competitività sui mercati globali.</w:t>
      </w:r>
    </w:p>
    <w:p w14:paraId="3CFA29F6" w14:textId="77777777" w:rsidR="00817E8E" w:rsidRPr="0015602D" w:rsidRDefault="00817E8E" w:rsidP="00817E8E">
      <w:pPr>
        <w:spacing w:before="100" w:beforeAutospacing="1" w:after="100" w:afterAutospacing="1" w:line="360" w:lineRule="auto"/>
        <w:rPr>
          <w:rFonts w:ascii="Tahoma" w:eastAsia="Times New Roman" w:hAnsi="Tahoma" w:cs="Tahoma"/>
          <w:sz w:val="24"/>
          <w:szCs w:val="24"/>
          <w:lang w:val="it-IT" w:eastAsia="en-NZ"/>
        </w:rPr>
      </w:pPr>
    </w:p>
    <w:p w14:paraId="45811D1D" w14:textId="0DB604FB" w:rsidR="00604F96" w:rsidRPr="00604F96" w:rsidRDefault="00331818" w:rsidP="00817E8E">
      <w:pPr>
        <w:pStyle w:val="ListParagraph"/>
        <w:numPr>
          <w:ilvl w:val="1"/>
          <w:numId w:val="26"/>
        </w:num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b/>
          <w:bCs/>
          <w:color w:val="2F5496" w:themeColor="accent1" w:themeShade="BF"/>
          <w:sz w:val="24"/>
          <w:szCs w:val="24"/>
          <w:lang w:val="it-IT" w:eastAsia="en-NZ"/>
        </w:rPr>
        <w:t>ECONOMIA CIRCOLARE, MATERIALI SOSTENIBILI E TRASPORTI</w:t>
      </w:r>
    </w:p>
    <w:p w14:paraId="0D4E9FC0" w14:textId="006BBADB" w:rsidR="00D76F1A" w:rsidRDefault="00D76F1A" w:rsidP="00817E8E">
      <w:p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sz w:val="24"/>
          <w:szCs w:val="24"/>
          <w:lang w:val="it-IT" w:eastAsia="en-NZ"/>
        </w:rPr>
        <w:t>Innovazioni nella gestione dei rifiuti, trasformati in materiali di valore, e nello sviluppo di materiali bio-based e tecniche di riciclo chimico, contribuiscono a ridurre le emissioni e a creare opportunità di export. Nel settore dei trasporti, la promozione di veicoli elettrici e a idrogeno, delle batterie e dei sistemi di ricarica intelligenti, unita a soluzioni innovative per la connettività delle aree rurali, rafforza ulteriormente l’ecosistema industriale della Nuova Zelanda.</w:t>
      </w:r>
    </w:p>
    <w:p w14:paraId="3FEC08B9" w14:textId="6428A2B9" w:rsidR="00132D63" w:rsidRDefault="00132D63" w:rsidP="00817E8E">
      <w:pPr>
        <w:spacing w:before="100" w:beforeAutospacing="1" w:after="100" w:afterAutospacing="1" w:line="360" w:lineRule="auto"/>
        <w:rPr>
          <w:rFonts w:ascii="Tahoma" w:eastAsia="Times New Roman" w:hAnsi="Tahoma" w:cs="Tahoma"/>
          <w:sz w:val="24"/>
          <w:szCs w:val="24"/>
          <w:lang w:val="it-IT" w:eastAsia="en-NZ"/>
        </w:rPr>
      </w:pPr>
    </w:p>
    <w:p w14:paraId="05F783AE" w14:textId="77777777" w:rsidR="00817E8E" w:rsidRPr="001566E5" w:rsidRDefault="00817E8E" w:rsidP="00817E8E">
      <w:pPr>
        <w:spacing w:before="100" w:beforeAutospacing="1" w:after="100" w:afterAutospacing="1" w:line="360" w:lineRule="auto"/>
        <w:rPr>
          <w:rFonts w:ascii="Tahoma" w:eastAsia="Times New Roman" w:hAnsi="Tahoma" w:cs="Tahoma"/>
          <w:sz w:val="24"/>
          <w:szCs w:val="24"/>
          <w:lang w:val="it-IT" w:eastAsia="en-NZ"/>
        </w:rPr>
      </w:pPr>
    </w:p>
    <w:p w14:paraId="5A08EDF4" w14:textId="136CCD1D" w:rsidR="00604F96" w:rsidRDefault="00331818" w:rsidP="00817E8E">
      <w:pPr>
        <w:pStyle w:val="ListParagraph"/>
        <w:numPr>
          <w:ilvl w:val="1"/>
          <w:numId w:val="26"/>
        </w:num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b/>
          <w:bCs/>
          <w:color w:val="2F5496" w:themeColor="accent1" w:themeShade="BF"/>
          <w:sz w:val="24"/>
          <w:szCs w:val="24"/>
          <w:lang w:val="it-IT" w:eastAsia="en-NZ"/>
        </w:rPr>
        <w:lastRenderedPageBreak/>
        <w:t>GREEN DATA CENTRE E SOLUZIONI DIGITALI</w:t>
      </w:r>
    </w:p>
    <w:p w14:paraId="1C534837" w14:textId="6A8AF622" w:rsidR="00D76F1A" w:rsidRDefault="00D76F1A" w:rsidP="00817E8E">
      <w:pPr>
        <w:spacing w:before="100" w:beforeAutospacing="1" w:after="100" w:afterAutospacing="1" w:line="360" w:lineRule="auto"/>
        <w:rPr>
          <w:rFonts w:ascii="Tahoma" w:eastAsia="Times New Roman" w:hAnsi="Tahoma" w:cs="Tahoma"/>
          <w:sz w:val="24"/>
          <w:szCs w:val="24"/>
          <w:lang w:val="it-IT" w:eastAsia="en-NZ"/>
        </w:rPr>
      </w:pPr>
      <w:r w:rsidRPr="00604F96">
        <w:rPr>
          <w:rFonts w:ascii="Tahoma" w:eastAsia="Times New Roman" w:hAnsi="Tahoma" w:cs="Tahoma"/>
          <w:sz w:val="24"/>
          <w:szCs w:val="24"/>
          <w:lang w:val="it-IT" w:eastAsia="en-NZ"/>
        </w:rPr>
        <w:t>La disponibilità di energia rinnovabile e il clima favorevole rendono il Paese ideale per la realizzazione di data centre sostenibili. Questi centri, focalizzati sull’elaborazione di Large Language Model (LLM) e sull’ottimizzazione dei picchi di domanda, possono essere affiancati da soluzioni di intelligenza artificiale applicate all’agritech, alla sanità e alla manifattura, per automazione e analisi predittive. Il potenziamento delle infrastrutture energetiche e idriche, insieme al miglioramento della connettività sottomarina, consolida la posizione della Nuova Zelanda nell’economia globale dei dati.</w:t>
      </w:r>
    </w:p>
    <w:p w14:paraId="2B2F81EB" w14:textId="77777777" w:rsidR="0028155E" w:rsidRPr="001566E5" w:rsidRDefault="0028155E" w:rsidP="00817E8E">
      <w:pPr>
        <w:spacing w:before="100" w:beforeAutospacing="1" w:after="100" w:afterAutospacing="1" w:line="360" w:lineRule="auto"/>
        <w:rPr>
          <w:rFonts w:ascii="Tahoma" w:eastAsia="Times New Roman" w:hAnsi="Tahoma" w:cs="Tahoma"/>
          <w:sz w:val="24"/>
          <w:szCs w:val="24"/>
          <w:lang w:val="it-IT" w:eastAsia="en-NZ"/>
        </w:rPr>
      </w:pPr>
    </w:p>
    <w:p w14:paraId="55EB82EA" w14:textId="60F67906" w:rsidR="00737A6C" w:rsidRPr="00CF1C93" w:rsidRDefault="00CF1C93" w:rsidP="00817E8E">
      <w:pPr>
        <w:pStyle w:val="ListParagraph"/>
        <w:numPr>
          <w:ilvl w:val="1"/>
          <w:numId w:val="26"/>
        </w:numPr>
        <w:spacing w:before="100" w:beforeAutospacing="1" w:after="100" w:afterAutospacing="1" w:line="360" w:lineRule="auto"/>
        <w:rPr>
          <w:rFonts w:ascii="Tahoma" w:hAnsi="Tahoma" w:cs="Tahoma"/>
          <w:b/>
          <w:bCs/>
          <w:color w:val="2F5496" w:themeColor="accent1" w:themeShade="BF"/>
          <w:sz w:val="24"/>
          <w:szCs w:val="24"/>
          <w:lang w:val="it-IT"/>
        </w:rPr>
      </w:pPr>
      <w:r>
        <w:rPr>
          <w:rFonts w:ascii="Tahoma" w:hAnsi="Tahoma" w:cs="Tahoma"/>
          <w:b/>
          <w:bCs/>
          <w:color w:val="2F5496" w:themeColor="accent1" w:themeShade="BF"/>
          <w:sz w:val="24"/>
          <w:szCs w:val="24"/>
          <w:lang w:val="it-IT"/>
        </w:rPr>
        <w:t>OPPORTUNITÀ</w:t>
      </w:r>
    </w:p>
    <w:p w14:paraId="4211731E" w14:textId="77777777" w:rsidR="00B808AD" w:rsidRPr="004E6B03" w:rsidRDefault="00B808AD" w:rsidP="00817E8E">
      <w:pPr>
        <w:spacing w:before="100" w:beforeAutospacing="1" w:after="100" w:afterAutospacing="1" w:line="360" w:lineRule="auto"/>
        <w:contextualSpacing/>
        <w:rPr>
          <w:rFonts w:ascii="Tahoma" w:eastAsia="Times New Roman" w:hAnsi="Tahoma" w:cs="Tahoma"/>
          <w:sz w:val="24"/>
          <w:szCs w:val="24"/>
          <w:lang w:val="it-IT" w:eastAsia="en-NZ"/>
        </w:rPr>
      </w:pPr>
      <w:r w:rsidRPr="004E6B03">
        <w:rPr>
          <w:rFonts w:ascii="Tahoma" w:eastAsia="Times New Roman" w:hAnsi="Tahoma" w:cs="Tahoma"/>
          <w:sz w:val="24"/>
          <w:szCs w:val="24"/>
          <w:lang w:val="it-IT" w:eastAsia="en-NZ"/>
        </w:rPr>
        <w:t>La Nuova Zelanda si distingue come un Paese all’avanguardia nello sviluppo tecnologico ed ecosostenibile, proponendosi come hub privilegiato per investimenti esteri in settori innovativi. Particolarmente rilevante è l’attenzione rivolta alle tecnologie in grado di ridurre l’impatto ambientale delle attività agro-zootecniche: facilitare la collaborazione tra investitori internazionali e aziende locali che operano in questo ambito rappresenta una priorità politica ed economica del Paese.</w:t>
      </w:r>
    </w:p>
    <w:p w14:paraId="327A14E0" w14:textId="09607559" w:rsidR="00B808AD" w:rsidRPr="004E6B03" w:rsidRDefault="00B808AD" w:rsidP="00817E8E">
      <w:pPr>
        <w:spacing w:before="100" w:beforeAutospacing="1" w:after="100" w:afterAutospacing="1" w:line="360" w:lineRule="auto"/>
        <w:contextualSpacing/>
        <w:rPr>
          <w:rFonts w:ascii="Tahoma" w:eastAsia="Times New Roman" w:hAnsi="Tahoma" w:cs="Tahoma"/>
          <w:sz w:val="24"/>
          <w:szCs w:val="24"/>
          <w:lang w:val="it-IT" w:eastAsia="en-NZ"/>
        </w:rPr>
      </w:pPr>
      <w:r w:rsidRPr="004E6B03">
        <w:rPr>
          <w:rFonts w:ascii="Tahoma" w:eastAsia="Times New Roman" w:hAnsi="Tahoma" w:cs="Tahoma"/>
          <w:sz w:val="24"/>
          <w:szCs w:val="24"/>
          <w:lang w:val="it-IT" w:eastAsia="en-NZ"/>
        </w:rPr>
        <w:t>Il settore agro-zootecnico neozelandese è riconosciuto a livello internazionale per l’eccellenza produttiva e per l’innovazione. La Nuova Zelanda vanta una consolidata esperienza nella produzione di beni primari e nell’allevamento di ovini finalizzato alla produzione di carni e lane pregiate, come la merino. Questa tradizione si accompagna a una continua sperimentazione di pratiche ambientali sostenibili, s</w:t>
      </w:r>
      <w:r w:rsidR="0015602D">
        <w:rPr>
          <w:rFonts w:ascii="Tahoma" w:eastAsia="Times New Roman" w:hAnsi="Tahoma" w:cs="Tahoma"/>
          <w:sz w:val="24"/>
          <w:szCs w:val="24"/>
          <w:lang w:val="it-IT" w:eastAsia="en-NZ"/>
        </w:rPr>
        <w:t>ostenuta</w:t>
      </w:r>
      <w:r w:rsidRPr="004E6B03">
        <w:rPr>
          <w:rFonts w:ascii="Tahoma" w:eastAsia="Times New Roman" w:hAnsi="Tahoma" w:cs="Tahoma"/>
          <w:sz w:val="24"/>
          <w:szCs w:val="24"/>
          <w:lang w:val="it-IT" w:eastAsia="en-NZ"/>
        </w:rPr>
        <w:t xml:space="preserve"> da un quadro legislativo attento alla gestione responsabile delle risorse e da università e istituzioni scientifiche di elevato profilo nelle scienze biologiche.</w:t>
      </w:r>
    </w:p>
    <w:p w14:paraId="107F9A16" w14:textId="0C5B027C" w:rsidR="00B808AD" w:rsidRPr="004E6B03" w:rsidRDefault="00B808AD" w:rsidP="00817E8E">
      <w:pPr>
        <w:spacing w:before="100" w:beforeAutospacing="1" w:after="100" w:afterAutospacing="1" w:line="360" w:lineRule="auto"/>
        <w:contextualSpacing/>
        <w:rPr>
          <w:rFonts w:ascii="Tahoma" w:eastAsia="Times New Roman" w:hAnsi="Tahoma" w:cs="Tahoma"/>
          <w:sz w:val="24"/>
          <w:szCs w:val="24"/>
          <w:lang w:val="it-IT" w:eastAsia="en-NZ"/>
        </w:rPr>
      </w:pPr>
      <w:r w:rsidRPr="004E6B03">
        <w:rPr>
          <w:rFonts w:ascii="Tahoma" w:eastAsia="Times New Roman" w:hAnsi="Tahoma" w:cs="Tahoma"/>
          <w:sz w:val="24"/>
          <w:szCs w:val="24"/>
          <w:lang w:val="it-IT" w:eastAsia="en-NZ"/>
        </w:rPr>
        <w:t xml:space="preserve">La transizione energetica costituisce un ulteriore settore strategico per il Paese. </w:t>
      </w:r>
      <w:r w:rsidR="0015602D">
        <w:rPr>
          <w:rFonts w:ascii="Tahoma" w:eastAsia="Times New Roman" w:hAnsi="Tahoma" w:cs="Tahoma"/>
          <w:sz w:val="24"/>
          <w:szCs w:val="24"/>
          <w:lang w:val="it-IT" w:eastAsia="en-NZ"/>
        </w:rPr>
        <w:t>L</w:t>
      </w:r>
      <w:r w:rsidRPr="004E6B03">
        <w:rPr>
          <w:rFonts w:ascii="Tahoma" w:eastAsia="Times New Roman" w:hAnsi="Tahoma" w:cs="Tahoma"/>
          <w:sz w:val="24"/>
          <w:szCs w:val="24"/>
          <w:lang w:val="it-IT" w:eastAsia="en-NZ"/>
        </w:rPr>
        <w:t xml:space="preserve">a Nuova Zelanda è </w:t>
      </w:r>
      <w:r w:rsidR="0015602D">
        <w:rPr>
          <w:rFonts w:ascii="Tahoma" w:eastAsia="Times New Roman" w:hAnsi="Tahoma" w:cs="Tahoma"/>
          <w:sz w:val="24"/>
          <w:szCs w:val="24"/>
          <w:lang w:val="it-IT" w:eastAsia="en-NZ"/>
        </w:rPr>
        <w:t>impegnata per esempio</w:t>
      </w:r>
      <w:r w:rsidRPr="004E6B03">
        <w:rPr>
          <w:rFonts w:ascii="Tahoma" w:eastAsia="Times New Roman" w:hAnsi="Tahoma" w:cs="Tahoma"/>
          <w:sz w:val="24"/>
          <w:szCs w:val="24"/>
          <w:lang w:val="it-IT" w:eastAsia="en-NZ"/>
        </w:rPr>
        <w:t xml:space="preserve"> a incrementare significativamente la produzione di energia da fonti rinnovabili</w:t>
      </w:r>
      <w:r w:rsidR="0015602D">
        <w:rPr>
          <w:rFonts w:ascii="Tahoma" w:eastAsia="Times New Roman" w:hAnsi="Tahoma" w:cs="Tahoma"/>
          <w:sz w:val="24"/>
          <w:szCs w:val="24"/>
          <w:lang w:val="it-IT" w:eastAsia="en-NZ"/>
        </w:rPr>
        <w:t>: e</w:t>
      </w:r>
      <w:r w:rsidRPr="004E6B03">
        <w:rPr>
          <w:rFonts w:ascii="Tahoma" w:eastAsia="Times New Roman" w:hAnsi="Tahoma" w:cs="Tahoma"/>
          <w:sz w:val="24"/>
          <w:szCs w:val="24"/>
          <w:lang w:val="it-IT" w:eastAsia="en-NZ"/>
        </w:rPr>
        <w:t>nergia geotermica, idroelettrica e biomasse costituiscono già una quota rilevante della produzione nazionale, mentre lo sviluppo di tecnologie innovative nel campo dell’eolico e del solare rappresenta un’opportunità concreta e promettente.</w:t>
      </w:r>
      <w:r w:rsidR="0015602D">
        <w:rPr>
          <w:rFonts w:ascii="Tahoma" w:eastAsia="Times New Roman" w:hAnsi="Tahoma" w:cs="Tahoma"/>
          <w:sz w:val="24"/>
          <w:szCs w:val="24"/>
          <w:lang w:val="it-IT" w:eastAsia="en-NZ"/>
        </w:rPr>
        <w:t xml:space="preserve"> Il governo ha recentemente annunciato nuovi piani per </w:t>
      </w:r>
      <w:r w:rsidR="0015602D">
        <w:rPr>
          <w:rFonts w:ascii="Tahoma" w:eastAsia="Times New Roman" w:hAnsi="Tahoma" w:cs="Tahoma"/>
          <w:sz w:val="24"/>
          <w:szCs w:val="24"/>
          <w:lang w:val="it-IT" w:eastAsia="en-NZ"/>
        </w:rPr>
        <w:lastRenderedPageBreak/>
        <w:t xml:space="preserve">sviluppare </w:t>
      </w:r>
      <w:r w:rsidR="00817E8E">
        <w:rPr>
          <w:rFonts w:ascii="Tahoma" w:eastAsia="Times New Roman" w:hAnsi="Tahoma" w:cs="Tahoma"/>
          <w:sz w:val="24"/>
          <w:szCs w:val="24"/>
          <w:lang w:val="it-IT" w:eastAsia="en-NZ"/>
        </w:rPr>
        <w:t>l’energia</w:t>
      </w:r>
      <w:r w:rsidR="0015602D">
        <w:rPr>
          <w:rFonts w:ascii="Tahoma" w:eastAsia="Times New Roman" w:hAnsi="Tahoma" w:cs="Tahoma"/>
          <w:sz w:val="24"/>
          <w:szCs w:val="24"/>
          <w:lang w:val="it-IT" w:eastAsia="en-NZ"/>
        </w:rPr>
        <w:t xml:space="preserve"> geotermica (a tal fine è stato anche recentemente concluso un accordo con </w:t>
      </w:r>
      <w:r w:rsidR="00A906E0">
        <w:rPr>
          <w:rFonts w:ascii="Tahoma" w:eastAsia="Times New Roman" w:hAnsi="Tahoma" w:cs="Tahoma"/>
          <w:sz w:val="24"/>
          <w:szCs w:val="24"/>
          <w:lang w:val="it-IT" w:eastAsia="en-NZ"/>
        </w:rPr>
        <w:t>l’Islanda</w:t>
      </w:r>
      <w:r w:rsidR="0015602D">
        <w:rPr>
          <w:rFonts w:ascii="Tahoma" w:eastAsia="Times New Roman" w:hAnsi="Tahoma" w:cs="Tahoma"/>
          <w:sz w:val="24"/>
          <w:szCs w:val="24"/>
          <w:lang w:val="it-IT" w:eastAsia="en-NZ"/>
        </w:rPr>
        <w:t>) e quella eolica off-shore.</w:t>
      </w:r>
    </w:p>
    <w:p w14:paraId="0A470720" w14:textId="77777777" w:rsidR="00B808AD" w:rsidRPr="004E6B03" w:rsidRDefault="00B808AD" w:rsidP="00817E8E">
      <w:pPr>
        <w:spacing w:before="100" w:beforeAutospacing="1" w:after="100" w:afterAutospacing="1" w:line="360" w:lineRule="auto"/>
        <w:contextualSpacing/>
        <w:rPr>
          <w:rFonts w:ascii="Tahoma" w:eastAsia="Times New Roman" w:hAnsi="Tahoma" w:cs="Tahoma"/>
          <w:sz w:val="24"/>
          <w:szCs w:val="24"/>
          <w:lang w:val="it-IT" w:eastAsia="en-NZ"/>
        </w:rPr>
      </w:pPr>
      <w:r w:rsidRPr="004E6B03">
        <w:rPr>
          <w:rFonts w:ascii="Tahoma" w:eastAsia="Times New Roman" w:hAnsi="Tahoma" w:cs="Tahoma"/>
          <w:sz w:val="24"/>
          <w:szCs w:val="24"/>
          <w:lang w:val="it-IT" w:eastAsia="en-NZ"/>
        </w:rPr>
        <w:t>Un ulteriore punto di forza risiede nel mercato finanziario, considerato solido, affidabile e sicuro per gli investitori esteri. La regolamentazione nazionale, chiara e prevedibile, semplifica l’avvio e la gestione di attività imprenditoriali, garantendo al contempo elevati standard di protezione degli investimenti. La Nuova Zelanda occupa posizioni di vertice nelle classifiche internazionali dedicate al rischio d’investimento, confermando la stabilità del contesto economico.</w:t>
      </w:r>
    </w:p>
    <w:p w14:paraId="61E914E3" w14:textId="48D86071" w:rsidR="00B808AD" w:rsidRPr="004E6B03" w:rsidRDefault="00B808AD" w:rsidP="00817E8E">
      <w:pPr>
        <w:spacing w:before="100" w:beforeAutospacing="1" w:after="100" w:afterAutospacing="1" w:line="360" w:lineRule="auto"/>
        <w:contextualSpacing/>
        <w:rPr>
          <w:rFonts w:ascii="Tahoma" w:eastAsia="Times New Roman" w:hAnsi="Tahoma" w:cs="Tahoma"/>
          <w:sz w:val="24"/>
          <w:szCs w:val="24"/>
          <w:lang w:val="it-IT" w:eastAsia="en-NZ"/>
        </w:rPr>
      </w:pPr>
      <w:r w:rsidRPr="004E6B03">
        <w:rPr>
          <w:rFonts w:ascii="Tahoma" w:eastAsia="Times New Roman" w:hAnsi="Tahoma" w:cs="Tahoma"/>
          <w:sz w:val="24"/>
          <w:szCs w:val="24"/>
          <w:lang w:val="it-IT" w:eastAsia="en-NZ"/>
        </w:rPr>
        <w:t xml:space="preserve">Infine, il governo neozelandese </w:t>
      </w:r>
      <w:r w:rsidR="0015602D">
        <w:rPr>
          <w:rFonts w:ascii="Tahoma" w:eastAsia="Times New Roman" w:hAnsi="Tahoma" w:cs="Tahoma"/>
          <w:sz w:val="24"/>
          <w:szCs w:val="24"/>
          <w:lang w:val="it-IT" w:eastAsia="en-NZ"/>
        </w:rPr>
        <w:t xml:space="preserve">sta ponendo attenzione sempre maggiore </w:t>
      </w:r>
      <w:r w:rsidRPr="004E6B03">
        <w:rPr>
          <w:rFonts w:ascii="Tahoma" w:eastAsia="Times New Roman" w:hAnsi="Tahoma" w:cs="Tahoma"/>
          <w:sz w:val="24"/>
          <w:szCs w:val="24"/>
          <w:lang w:val="it-IT" w:eastAsia="en-NZ"/>
        </w:rPr>
        <w:t>agli investimenti pubblici in infrastrutture ed edilizia, incrementando i finanziamenti destinati alla costruzione di nuove infrastrutture e al potenziamento dei servizi pubblici, in particolare nelle aree in rapida espansione. Tali interventi mirano a superare le criticità legate alla rete stradale, al trasporto pubblico e all’offerta abitativa, includendo la ristrutturazione e il rinnovo di ospedali e scuole, con l’obiettivo di migliorare la qualità della vita e sostenere la crescita economica del Paese.</w:t>
      </w:r>
    </w:p>
    <w:p w14:paraId="528E699C" w14:textId="3FD7DDDC" w:rsidR="00737A6C" w:rsidRDefault="00B808AD" w:rsidP="00817E8E">
      <w:pPr>
        <w:spacing w:before="100" w:beforeAutospacing="1" w:after="100" w:afterAutospacing="1" w:line="360" w:lineRule="auto"/>
        <w:contextualSpacing/>
        <w:rPr>
          <w:rFonts w:ascii="Tahoma" w:eastAsia="Times New Roman" w:hAnsi="Tahoma" w:cs="Tahoma"/>
          <w:sz w:val="24"/>
          <w:szCs w:val="24"/>
          <w:lang w:val="it-IT" w:eastAsia="en-NZ"/>
        </w:rPr>
      </w:pPr>
      <w:r w:rsidRPr="004E6B03">
        <w:rPr>
          <w:rFonts w:ascii="Tahoma" w:eastAsia="Times New Roman" w:hAnsi="Tahoma" w:cs="Tahoma"/>
          <w:sz w:val="24"/>
          <w:szCs w:val="24"/>
          <w:lang w:val="it-IT" w:eastAsia="en-NZ"/>
        </w:rPr>
        <w:t>In sintesi, la Nuova Zelanda si conferma come un contesto fertile per innovazione tecnologica, sostenibilità ambientale e sicurezza degli investimenti, ponendosi come destinazione privilegiata per partner strategici e operatori internazionali.</w:t>
      </w:r>
    </w:p>
    <w:p w14:paraId="57671118" w14:textId="612848C2" w:rsidR="00ED60E0" w:rsidRDefault="00ED60E0" w:rsidP="00817E8E">
      <w:pPr>
        <w:spacing w:before="100" w:beforeAutospacing="1" w:after="100" w:afterAutospacing="1" w:line="360" w:lineRule="auto"/>
        <w:contextualSpacing/>
        <w:rPr>
          <w:rFonts w:ascii="Tahoma" w:eastAsia="Times New Roman" w:hAnsi="Tahoma" w:cs="Tahoma"/>
          <w:sz w:val="24"/>
          <w:szCs w:val="24"/>
          <w:lang w:val="it-IT" w:eastAsia="en-NZ"/>
        </w:rPr>
      </w:pPr>
      <w:r>
        <w:rPr>
          <w:rFonts w:ascii="Tahoma" w:eastAsia="Times New Roman" w:hAnsi="Tahoma" w:cs="Tahoma"/>
          <w:sz w:val="24"/>
          <w:szCs w:val="24"/>
          <w:lang w:val="it-IT" w:eastAsia="en-NZ"/>
        </w:rPr>
        <w:t xml:space="preserve">Cogliere opportunità di investimento con la Nuova Zelanda potrebbe inoltre consentire alle imprese italiane di allargare i loro orizzonti verso le opportunità, in particolare nei settori delle infrastrutture marittime e della connettività, offerte dai Piccoli Stati Insulari del Pacifico, con cui la Nuova Zelanda intrattiene rapporti privilegiati. </w:t>
      </w:r>
    </w:p>
    <w:p w14:paraId="355619DB" w14:textId="2FF8B0FC" w:rsidR="00CA4186" w:rsidRDefault="00CA4186" w:rsidP="00817E8E">
      <w:pPr>
        <w:spacing w:before="100" w:beforeAutospacing="1" w:after="100" w:afterAutospacing="1" w:line="360" w:lineRule="auto"/>
        <w:contextualSpacing/>
        <w:rPr>
          <w:rFonts w:ascii="Tahoma" w:eastAsia="Times New Roman" w:hAnsi="Tahoma" w:cs="Tahoma"/>
          <w:i/>
          <w:iCs/>
          <w:sz w:val="24"/>
          <w:szCs w:val="24"/>
          <w:lang w:val="it-IT" w:eastAsia="en-NZ"/>
        </w:rPr>
      </w:pPr>
    </w:p>
    <w:p w14:paraId="52187E07" w14:textId="5281165E" w:rsidR="0015602D" w:rsidRPr="00292065" w:rsidRDefault="0015602D" w:rsidP="00817E8E">
      <w:pPr>
        <w:pStyle w:val="ListParagraph"/>
        <w:numPr>
          <w:ilvl w:val="1"/>
          <w:numId w:val="26"/>
        </w:numPr>
        <w:spacing w:before="100" w:beforeAutospacing="1" w:after="100" w:afterAutospacing="1" w:line="360" w:lineRule="auto"/>
        <w:rPr>
          <w:rFonts w:ascii="Tahoma" w:hAnsi="Tahoma" w:cs="Tahoma"/>
          <w:b/>
          <w:bCs/>
          <w:color w:val="2F5496" w:themeColor="accent1" w:themeShade="BF"/>
          <w:sz w:val="24"/>
          <w:szCs w:val="24"/>
          <w:lang w:val="it-IT"/>
        </w:rPr>
      </w:pPr>
      <w:r w:rsidRPr="00292065">
        <w:rPr>
          <w:rFonts w:ascii="Tahoma" w:hAnsi="Tahoma" w:cs="Tahoma"/>
          <w:b/>
          <w:bCs/>
          <w:color w:val="2F5496" w:themeColor="accent1" w:themeShade="BF"/>
          <w:sz w:val="24"/>
          <w:szCs w:val="24"/>
          <w:lang w:val="it-IT"/>
        </w:rPr>
        <w:t>OPPORTUNITÀ DIFESA</w:t>
      </w:r>
    </w:p>
    <w:p w14:paraId="740BF85C" w14:textId="4250DEE6" w:rsidR="00292065" w:rsidRDefault="00292065" w:rsidP="00817E8E">
      <w:pPr>
        <w:spacing w:line="360" w:lineRule="auto"/>
        <w:rPr>
          <w:rFonts w:ascii="Tahoma" w:eastAsiaTheme="minorHAnsi" w:hAnsi="Tahoma" w:cs="Tahoma"/>
          <w:sz w:val="24"/>
          <w:szCs w:val="24"/>
          <w:lang w:val="it-IT"/>
        </w:rPr>
      </w:pPr>
      <w:r>
        <w:rPr>
          <w:rFonts w:ascii="Tahoma" w:hAnsi="Tahoma" w:cs="Tahoma"/>
          <w:bCs/>
          <w:sz w:val="24"/>
          <w:szCs w:val="24"/>
          <w:lang w:val="it-IT"/>
        </w:rPr>
        <w:t>Il Governo neozelandese ha recentemente varat</w:t>
      </w:r>
      <w:r w:rsidR="00ED60E0">
        <w:rPr>
          <w:rFonts w:ascii="Tahoma" w:hAnsi="Tahoma" w:cs="Tahoma"/>
          <w:bCs/>
          <w:sz w:val="24"/>
          <w:szCs w:val="24"/>
          <w:lang w:val="it-IT"/>
        </w:rPr>
        <w:t>o</w:t>
      </w:r>
      <w:r>
        <w:rPr>
          <w:rFonts w:ascii="Tahoma" w:hAnsi="Tahoma" w:cs="Tahoma"/>
          <w:bCs/>
          <w:sz w:val="24"/>
          <w:szCs w:val="24"/>
          <w:lang w:val="it-IT"/>
        </w:rPr>
        <w:t xml:space="preserve"> la</w:t>
      </w:r>
      <w:r>
        <w:rPr>
          <w:rFonts w:ascii="Tahoma" w:hAnsi="Tahoma" w:cs="Tahoma"/>
          <w:sz w:val="24"/>
          <w:szCs w:val="24"/>
          <w:lang w:val="it-IT"/>
        </w:rPr>
        <w:t xml:space="preserve"> “Strategia dell’industria della Difesa” (DIS) con l’obiettivo di promuovere la collaborazione fra difesa ed industria nazionale e favorire la creazione di un indotto produttivo che, nel garantire maggiore indipendenza nelle forniture, assicuri anche sviluppo economico, crescita delle esportazioni, maggiore capacità di innovazione tecnologica. La Strategia afferma la volontà di raddoppiare le spese per la difesa nell’arco dei prossimi otto anni, partendo da un investimento iniziale di 12 miliardi di dollari NZ nei prossimi quattro anni.</w:t>
      </w:r>
    </w:p>
    <w:p w14:paraId="0A43CCB9" w14:textId="617C1CEE" w:rsidR="00292065" w:rsidRDefault="00292065" w:rsidP="00817E8E">
      <w:pPr>
        <w:spacing w:line="360" w:lineRule="auto"/>
        <w:rPr>
          <w:rFonts w:ascii="Tahoma" w:hAnsi="Tahoma" w:cs="Tahoma"/>
          <w:sz w:val="24"/>
          <w:szCs w:val="24"/>
          <w:lang w:val="it-IT"/>
        </w:rPr>
      </w:pPr>
      <w:r>
        <w:rPr>
          <w:rFonts w:ascii="Tahoma" w:hAnsi="Tahoma" w:cs="Tahoma"/>
          <w:sz w:val="24"/>
          <w:szCs w:val="24"/>
          <w:lang w:val="it-IT"/>
        </w:rPr>
        <w:lastRenderedPageBreak/>
        <w:t>La DIS si basa su tre azioni fondamentali da realizzare nei prossimi quattro anni per dare al paese forze armate moderne, veloci e resilienti</w:t>
      </w:r>
      <w:r w:rsidR="00ED60E0">
        <w:rPr>
          <w:rFonts w:ascii="Tahoma" w:hAnsi="Tahoma" w:cs="Tahoma"/>
          <w:sz w:val="24"/>
          <w:szCs w:val="24"/>
          <w:lang w:val="it-IT"/>
        </w:rPr>
        <w:t>,</w:t>
      </w:r>
      <w:r>
        <w:rPr>
          <w:rFonts w:ascii="Tahoma" w:hAnsi="Tahoma" w:cs="Tahoma"/>
          <w:sz w:val="24"/>
          <w:szCs w:val="24"/>
          <w:lang w:val="it-IT"/>
        </w:rPr>
        <w:t xml:space="preserve"> rafforzando le capacità industriali neozelandesi:</w:t>
      </w:r>
    </w:p>
    <w:p w14:paraId="66118CE0" w14:textId="77777777" w:rsidR="00292065" w:rsidRDefault="00292065" w:rsidP="00817E8E">
      <w:pPr>
        <w:pStyle w:val="ListParagraph"/>
        <w:numPr>
          <w:ilvl w:val="0"/>
          <w:numId w:val="32"/>
        </w:numPr>
        <w:spacing w:before="100" w:beforeAutospacing="1" w:after="100" w:afterAutospacing="1" w:line="360" w:lineRule="auto"/>
        <w:rPr>
          <w:rFonts w:ascii="Tahoma" w:eastAsia="Times New Roman" w:hAnsi="Tahoma" w:cs="Tahoma"/>
          <w:sz w:val="24"/>
          <w:szCs w:val="24"/>
          <w:lang w:val="it-IT" w:eastAsia="en-NZ"/>
        </w:rPr>
      </w:pPr>
      <w:r>
        <w:rPr>
          <w:rFonts w:ascii="Tahoma" w:eastAsia="Times New Roman" w:hAnsi="Tahoma" w:cs="Tahoma"/>
          <w:sz w:val="24"/>
          <w:szCs w:val="24"/>
          <w:lang w:val="it-IT" w:eastAsia="en-NZ"/>
        </w:rPr>
        <w:t>più approfondita conoscenza, da parte della Difesa, delle industrie e delle organizzazioni in grado di fornire capacità e servizi nel settore, sia attualmente che in futuro, e al tempo stesso promozione di una maggiore comprensione da parte delle imprese delle esigenze, delle priorità e dei rischi della Difesa neozelandese;</w:t>
      </w:r>
    </w:p>
    <w:p w14:paraId="4A566C01" w14:textId="77777777" w:rsidR="00292065" w:rsidRDefault="00292065" w:rsidP="00817E8E">
      <w:pPr>
        <w:pStyle w:val="ListParagraph"/>
        <w:numPr>
          <w:ilvl w:val="0"/>
          <w:numId w:val="32"/>
        </w:numPr>
        <w:spacing w:before="100" w:beforeAutospacing="1" w:after="100" w:afterAutospacing="1" w:line="360" w:lineRule="auto"/>
        <w:rPr>
          <w:rFonts w:ascii="Tahoma" w:eastAsia="Times New Roman" w:hAnsi="Tahoma" w:cs="Tahoma"/>
          <w:sz w:val="24"/>
          <w:szCs w:val="24"/>
          <w:lang w:val="it-IT" w:eastAsia="en-NZ"/>
        </w:rPr>
      </w:pPr>
      <w:r>
        <w:rPr>
          <w:rFonts w:ascii="Tahoma" w:eastAsia="Times New Roman" w:hAnsi="Tahoma" w:cs="Tahoma"/>
          <w:sz w:val="24"/>
          <w:szCs w:val="24"/>
          <w:lang w:val="it-IT" w:eastAsia="en-NZ"/>
        </w:rPr>
        <w:t>collaborazione con l’industria e con i governi partner per sviluppare e testare capacità e servizi innovativi, sostenendo la crescita e la resilienza di una industria nazionale della Difesa;</w:t>
      </w:r>
    </w:p>
    <w:p w14:paraId="707A3B27" w14:textId="77777777" w:rsidR="00292065" w:rsidRDefault="00292065" w:rsidP="00817E8E">
      <w:pPr>
        <w:pStyle w:val="ListParagraph"/>
        <w:numPr>
          <w:ilvl w:val="0"/>
          <w:numId w:val="32"/>
        </w:numPr>
        <w:spacing w:before="100" w:beforeAutospacing="1" w:after="100" w:afterAutospacing="1" w:line="360" w:lineRule="auto"/>
        <w:rPr>
          <w:rFonts w:ascii="Tahoma" w:eastAsia="Times New Roman" w:hAnsi="Tahoma" w:cs="Tahoma"/>
          <w:sz w:val="24"/>
          <w:szCs w:val="24"/>
          <w:lang w:val="it-IT" w:eastAsia="en-NZ"/>
        </w:rPr>
      </w:pPr>
      <w:r>
        <w:rPr>
          <w:rFonts w:ascii="Tahoma" w:eastAsia="Times New Roman" w:hAnsi="Tahoma" w:cs="Tahoma"/>
          <w:sz w:val="24"/>
          <w:szCs w:val="24"/>
          <w:lang w:val="it-IT" w:eastAsia="en-NZ"/>
        </w:rPr>
        <w:t>semplificazione delle procedure di approvvigionamento, con l’obiettivo di ridurre i tempi di consegna.</w:t>
      </w:r>
    </w:p>
    <w:p w14:paraId="1C3C2A60" w14:textId="77777777" w:rsidR="00292065" w:rsidRDefault="00292065" w:rsidP="00817E8E">
      <w:pPr>
        <w:pStyle w:val="ListParagraph"/>
        <w:spacing w:before="100" w:beforeAutospacing="1" w:after="100" w:afterAutospacing="1" w:line="360" w:lineRule="auto"/>
        <w:rPr>
          <w:rFonts w:ascii="Tahoma" w:eastAsia="Times New Roman" w:hAnsi="Tahoma" w:cs="Tahoma"/>
          <w:sz w:val="24"/>
          <w:szCs w:val="24"/>
          <w:lang w:val="it-IT" w:eastAsia="en-NZ"/>
        </w:rPr>
      </w:pPr>
    </w:p>
    <w:p w14:paraId="4B326B3B" w14:textId="77777777" w:rsidR="00292065" w:rsidRDefault="00292065" w:rsidP="00817E8E">
      <w:pPr>
        <w:pStyle w:val="ListParagraph"/>
        <w:spacing w:before="100" w:beforeAutospacing="1" w:after="100" w:afterAutospacing="1" w:line="360" w:lineRule="auto"/>
        <w:ind w:left="360"/>
        <w:rPr>
          <w:rFonts w:ascii="Tahoma" w:eastAsia="Times New Roman" w:hAnsi="Tahoma" w:cs="Tahoma"/>
          <w:sz w:val="24"/>
          <w:szCs w:val="24"/>
          <w:lang w:val="it-IT" w:eastAsia="en-NZ"/>
        </w:rPr>
      </w:pPr>
      <w:r>
        <w:rPr>
          <w:rFonts w:ascii="Tahoma" w:eastAsia="Times New Roman" w:hAnsi="Tahoma" w:cs="Tahoma"/>
          <w:sz w:val="24"/>
          <w:szCs w:val="24"/>
          <w:lang w:val="it-IT" w:eastAsia="en-NZ"/>
        </w:rPr>
        <w:t>In questo quadro, il Piano prevede anche:</w:t>
      </w:r>
    </w:p>
    <w:p w14:paraId="6848A5C6" w14:textId="77777777" w:rsidR="00292065" w:rsidRDefault="00292065" w:rsidP="00817E8E">
      <w:pPr>
        <w:pStyle w:val="ListParagraph"/>
        <w:numPr>
          <w:ilvl w:val="0"/>
          <w:numId w:val="33"/>
        </w:numPr>
        <w:spacing w:before="100" w:beforeAutospacing="1" w:after="100" w:afterAutospacing="1" w:line="360" w:lineRule="auto"/>
        <w:rPr>
          <w:rFonts w:ascii="Tahoma" w:eastAsia="Times New Roman" w:hAnsi="Tahoma" w:cs="Tahoma"/>
          <w:sz w:val="24"/>
          <w:szCs w:val="24"/>
          <w:lang w:val="it-IT" w:eastAsia="en-NZ"/>
        </w:rPr>
      </w:pPr>
      <w:r>
        <w:rPr>
          <w:rStyle w:val="Strong"/>
          <w:rFonts w:ascii="Tahoma" w:hAnsi="Tahoma" w:cs="Tahoma"/>
          <w:b w:val="0"/>
          <w:bCs w:val="0"/>
          <w:sz w:val="24"/>
          <w:szCs w:val="24"/>
          <w:lang w:val="it-IT"/>
        </w:rPr>
        <w:t>collaborazione da parte dei principali fornitori, anche stranieri, con l’industria neozelandese per fornire e mantenere le capacità di difesa del paese;</w:t>
      </w:r>
    </w:p>
    <w:p w14:paraId="460C99FC" w14:textId="77777777" w:rsidR="00292065" w:rsidRDefault="00292065" w:rsidP="00817E8E">
      <w:pPr>
        <w:pStyle w:val="NormalWeb"/>
        <w:numPr>
          <w:ilvl w:val="0"/>
          <w:numId w:val="33"/>
        </w:numPr>
        <w:spacing w:line="360" w:lineRule="auto"/>
        <w:jc w:val="both"/>
        <w:rPr>
          <w:rFonts w:ascii="Tahoma" w:hAnsi="Tahoma" w:cs="Tahoma"/>
          <w:b/>
          <w:bCs/>
          <w:lang w:val="it-IT"/>
        </w:rPr>
      </w:pPr>
      <w:r>
        <w:rPr>
          <w:rStyle w:val="Strong"/>
          <w:rFonts w:ascii="Tahoma" w:hAnsi="Tahoma" w:cs="Tahoma"/>
          <w:b w:val="0"/>
          <w:bCs w:val="0"/>
          <w:lang w:val="it-IT"/>
        </w:rPr>
        <w:t>istituzione di un “acceleratore tecnologico”, con un investimento indicativo compreso tra 100 e 300 milioni di dollari NZ, grazie al quale il settore della Difesa collaborerà con quello delle tecnologie avanzate per lo sviluppo di innovazioni a uso militare per le Forze di Difesa della Nuova Zelanda (ma con potenziale anche per l’esportazione);</w:t>
      </w:r>
    </w:p>
    <w:p w14:paraId="6C7C3874" w14:textId="77777777" w:rsidR="00292065" w:rsidRPr="00292065" w:rsidRDefault="00292065" w:rsidP="00817E8E">
      <w:pPr>
        <w:pStyle w:val="NormalWeb"/>
        <w:numPr>
          <w:ilvl w:val="0"/>
          <w:numId w:val="33"/>
        </w:numPr>
        <w:spacing w:line="360" w:lineRule="auto"/>
        <w:jc w:val="both"/>
        <w:rPr>
          <w:rStyle w:val="Strong"/>
          <w:lang w:val="it-IT"/>
        </w:rPr>
      </w:pPr>
      <w:r>
        <w:rPr>
          <w:rFonts w:ascii="Tahoma" w:hAnsi="Tahoma" w:cs="Tahoma"/>
          <w:lang w:val="it-IT"/>
        </w:rPr>
        <w:t>c</w:t>
      </w:r>
      <w:r>
        <w:rPr>
          <w:rStyle w:val="Strong"/>
          <w:rFonts w:ascii="Tahoma" w:hAnsi="Tahoma" w:cs="Tahoma"/>
          <w:b w:val="0"/>
          <w:bCs w:val="0"/>
          <w:lang w:val="it-IT"/>
        </w:rPr>
        <w:t>reazione di nuove opportunità all’estero per le imprese neozelandesi, inclusa la promozione di tecnologie innovative locali presso partner internazionali;</w:t>
      </w:r>
    </w:p>
    <w:p w14:paraId="748EA729" w14:textId="11D747A8" w:rsidR="00292065" w:rsidRDefault="00292065" w:rsidP="00817E8E">
      <w:pPr>
        <w:pStyle w:val="NormalWeb"/>
        <w:numPr>
          <w:ilvl w:val="0"/>
          <w:numId w:val="33"/>
        </w:numPr>
        <w:spacing w:line="360" w:lineRule="auto"/>
        <w:jc w:val="both"/>
        <w:rPr>
          <w:rStyle w:val="Strong"/>
          <w:rFonts w:ascii="Tahoma" w:hAnsi="Tahoma" w:cs="Tahoma"/>
          <w:lang w:val="it-IT"/>
        </w:rPr>
      </w:pPr>
      <w:r>
        <w:rPr>
          <w:rStyle w:val="Strong"/>
          <w:rFonts w:ascii="Tahoma" w:hAnsi="Tahoma" w:cs="Tahoma"/>
          <w:b w:val="0"/>
          <w:bCs w:val="0"/>
          <w:lang w:val="it-IT"/>
        </w:rPr>
        <w:t>promozione prioritaria dell` “interoperabilità” con l’Australia</w:t>
      </w:r>
      <w:r w:rsidR="00ED60E0">
        <w:rPr>
          <w:rStyle w:val="Strong"/>
          <w:rFonts w:ascii="Tahoma" w:hAnsi="Tahoma" w:cs="Tahoma"/>
          <w:b w:val="0"/>
          <w:bCs w:val="0"/>
          <w:lang w:val="it-IT"/>
        </w:rPr>
        <w:t>.</w:t>
      </w:r>
      <w:r>
        <w:rPr>
          <w:rStyle w:val="Strong"/>
          <w:rFonts w:ascii="Tahoma" w:hAnsi="Tahoma" w:cs="Tahoma"/>
          <w:b w:val="0"/>
          <w:bCs w:val="0"/>
          <w:lang w:val="it-IT"/>
        </w:rPr>
        <w:t xml:space="preserve"> </w:t>
      </w:r>
    </w:p>
    <w:p w14:paraId="1FAFB4D3" w14:textId="77777777" w:rsidR="00292065" w:rsidRPr="00292065" w:rsidRDefault="00292065" w:rsidP="00817E8E">
      <w:pPr>
        <w:pStyle w:val="NormalWeb"/>
        <w:spacing w:line="360" w:lineRule="auto"/>
        <w:ind w:left="360"/>
        <w:jc w:val="both"/>
        <w:rPr>
          <w:lang w:val="it-IT"/>
        </w:rPr>
      </w:pPr>
      <w:r>
        <w:rPr>
          <w:rFonts w:ascii="Tahoma" w:hAnsi="Tahoma" w:cs="Tahoma"/>
          <w:lang w:val="it-IT"/>
        </w:rPr>
        <w:t>Il settore spaziale ed aereonautico del paese sta crescendo velocemente, con un aumento dei ricavi del 53%, per un totale di 2,68 miliardi in cinque anni: l’obiettivo del Governo è raddoppiarne il valore entro il 2030, grazie anche all’allargamento della sua attività all’intelligenza artificiale, al monitoraggio della Terra e ad altri campi connessi.</w:t>
      </w:r>
    </w:p>
    <w:p w14:paraId="32B8CFE8" w14:textId="46D06DC9" w:rsidR="00292065" w:rsidRDefault="00ED60E0" w:rsidP="00817E8E">
      <w:pPr>
        <w:pStyle w:val="NormalWeb"/>
        <w:spacing w:line="360" w:lineRule="auto"/>
        <w:ind w:left="360"/>
        <w:jc w:val="both"/>
        <w:rPr>
          <w:rFonts w:ascii="Tahoma" w:hAnsi="Tahoma" w:cs="Tahoma"/>
          <w:b/>
          <w:bCs/>
          <w:lang w:val="it-IT"/>
        </w:rPr>
      </w:pPr>
      <w:r>
        <w:rPr>
          <w:rFonts w:ascii="Tahoma" w:hAnsi="Tahoma" w:cs="Tahoma"/>
          <w:lang w:val="it-IT"/>
        </w:rPr>
        <w:lastRenderedPageBreak/>
        <w:t>Per q</w:t>
      </w:r>
      <w:r w:rsidR="00292065">
        <w:rPr>
          <w:rFonts w:ascii="Tahoma" w:hAnsi="Tahoma" w:cs="Tahoma"/>
          <w:lang w:val="it-IT"/>
        </w:rPr>
        <w:t>uanto riguarda la cybersicurezza, in un momento caratterizzato dall’intensificazione delle minacce online, con dati recenti che segnalano come il 54% dei neozelandesi sia stato soggetto a minacce negli ultimi sei mesi (con perdite economiche stimate in almeno 1,6 miliardi di dollari nel solo 2024), il Governo ha varato diverse iniziative per rafforzare la resilienza digitale con investimenti combinati di oltre 800 milioni di dollari.</w:t>
      </w:r>
    </w:p>
    <w:p w14:paraId="60B7F791" w14:textId="3288E45F" w:rsidR="00292065" w:rsidRDefault="00ED60E0" w:rsidP="00817E8E">
      <w:pPr>
        <w:pStyle w:val="NormalWeb"/>
        <w:spacing w:line="360" w:lineRule="auto"/>
        <w:ind w:left="360"/>
        <w:jc w:val="both"/>
        <w:rPr>
          <w:rFonts w:ascii="Tahoma" w:hAnsi="Tahoma" w:cs="Tahoma"/>
          <w:b/>
          <w:bCs/>
          <w:lang w:val="it-IT"/>
        </w:rPr>
      </w:pPr>
      <w:r>
        <w:rPr>
          <w:rFonts w:ascii="Tahoma" w:hAnsi="Tahoma" w:cs="Tahoma"/>
          <w:lang w:val="it-IT"/>
        </w:rPr>
        <w:t>R</w:t>
      </w:r>
      <w:r w:rsidR="00292065">
        <w:rPr>
          <w:rFonts w:ascii="Tahoma" w:hAnsi="Tahoma" w:cs="Tahoma"/>
          <w:lang w:val="it-IT"/>
        </w:rPr>
        <w:t xml:space="preserve">afforzare l’industria nazionale della difesa, anche attraverso la collaborazione con le industrie dei paesi “like minded”, </w:t>
      </w:r>
      <w:r>
        <w:rPr>
          <w:rFonts w:ascii="Tahoma" w:hAnsi="Tahoma" w:cs="Tahoma"/>
          <w:lang w:val="it-IT"/>
        </w:rPr>
        <w:t>costituisce ora</w:t>
      </w:r>
      <w:r w:rsidR="00292065">
        <w:rPr>
          <w:rFonts w:ascii="Tahoma" w:hAnsi="Tahoma" w:cs="Tahoma"/>
          <w:lang w:val="it-IT"/>
        </w:rPr>
        <w:t xml:space="preserve"> per questo paese una priorità.</w:t>
      </w:r>
      <w:r w:rsidR="00292065">
        <w:rPr>
          <w:rFonts w:ascii="Tahoma" w:hAnsi="Tahoma" w:cs="Tahoma"/>
          <w:b/>
          <w:bCs/>
          <w:lang w:val="it-IT"/>
        </w:rPr>
        <w:t xml:space="preserve"> </w:t>
      </w:r>
    </w:p>
    <w:p w14:paraId="48ADD6DF" w14:textId="77777777" w:rsidR="00ED60E0" w:rsidRPr="00292065" w:rsidRDefault="00ED60E0" w:rsidP="00817E8E">
      <w:pPr>
        <w:pStyle w:val="NormalWeb"/>
        <w:spacing w:line="360" w:lineRule="auto"/>
        <w:ind w:left="360"/>
        <w:jc w:val="both"/>
        <w:rPr>
          <w:rFonts w:ascii="Tahoma" w:hAnsi="Tahoma" w:cs="Tahoma"/>
          <w:b/>
          <w:bCs/>
          <w:lang w:val="it-IT"/>
        </w:rPr>
      </w:pPr>
    </w:p>
    <w:p w14:paraId="5616F71B" w14:textId="49406D95" w:rsidR="00CF1C93" w:rsidRDefault="00CF1C93" w:rsidP="00817E8E">
      <w:pPr>
        <w:pStyle w:val="NormalWeb"/>
        <w:numPr>
          <w:ilvl w:val="0"/>
          <w:numId w:val="26"/>
        </w:numPr>
        <w:shd w:val="clear" w:color="auto" w:fill="FFFFFF"/>
        <w:spacing w:before="0" w:beforeAutospacing="0" w:line="360" w:lineRule="auto"/>
        <w:contextualSpacing/>
        <w:jc w:val="both"/>
        <w:rPr>
          <w:rFonts w:ascii="Tahoma" w:hAnsi="Tahoma" w:cs="Tahoma"/>
          <w:color w:val="19191A"/>
          <w:lang w:val="it-IT"/>
        </w:rPr>
      </w:pPr>
      <w:r w:rsidRPr="00CF1C93">
        <w:rPr>
          <w:rFonts w:ascii="Tahoma" w:hAnsi="Tahoma" w:cs="Tahoma"/>
          <w:b/>
          <w:bCs/>
          <w:color w:val="215C8A"/>
          <w:spacing w:val="-6"/>
          <w:lang w:val="it-IT"/>
        </w:rPr>
        <w:t xml:space="preserve">PRINCIPALI CRITICITÀ </w:t>
      </w:r>
    </w:p>
    <w:p w14:paraId="47B8D7FA" w14:textId="77777777" w:rsidR="00CF1C93" w:rsidRPr="00CF1C93" w:rsidRDefault="00CF1C93" w:rsidP="00817E8E">
      <w:pPr>
        <w:pStyle w:val="NormalWeb"/>
        <w:shd w:val="clear" w:color="auto" w:fill="FFFFFF"/>
        <w:spacing w:before="0" w:beforeAutospacing="0" w:line="360" w:lineRule="auto"/>
        <w:contextualSpacing/>
        <w:jc w:val="both"/>
        <w:rPr>
          <w:rFonts w:ascii="Tahoma" w:hAnsi="Tahoma" w:cs="Tahoma"/>
          <w:color w:val="19191A"/>
          <w:lang w:val="it-IT"/>
        </w:rPr>
      </w:pPr>
    </w:p>
    <w:p w14:paraId="4A129C4E" w14:textId="2258825D" w:rsidR="00CF1C93" w:rsidRDefault="00CF1C93" w:rsidP="00817E8E">
      <w:pPr>
        <w:pStyle w:val="NormalWeb"/>
        <w:shd w:val="clear" w:color="auto" w:fill="FFFFFF"/>
        <w:spacing w:before="0" w:beforeAutospacing="0" w:line="360" w:lineRule="auto"/>
        <w:contextualSpacing/>
        <w:jc w:val="both"/>
        <w:rPr>
          <w:rFonts w:ascii="Tahoma" w:hAnsi="Tahoma" w:cs="Tahoma"/>
          <w:color w:val="19191A"/>
          <w:lang w:val="it-IT"/>
        </w:rPr>
      </w:pPr>
      <w:r w:rsidRPr="00CF1C93">
        <w:rPr>
          <w:rFonts w:ascii="Tahoma" w:hAnsi="Tahoma" w:cs="Tahoma"/>
          <w:color w:val="19191A"/>
          <w:lang w:val="it-IT"/>
        </w:rPr>
        <w:t xml:space="preserve">Per quanto la Nuova Zelanda abbia negli anni mantenuto una politica monetaria capace di </w:t>
      </w:r>
      <w:r w:rsidR="007E3947">
        <w:rPr>
          <w:rFonts w:ascii="Tahoma" w:hAnsi="Tahoma" w:cs="Tahoma"/>
          <w:color w:val="19191A"/>
          <w:lang w:val="it-IT"/>
        </w:rPr>
        <w:t xml:space="preserve">garantire una certa </w:t>
      </w:r>
      <w:r w:rsidRPr="00CF1C93">
        <w:rPr>
          <w:rFonts w:ascii="Tahoma" w:hAnsi="Tahoma" w:cs="Tahoma"/>
          <w:color w:val="19191A"/>
          <w:lang w:val="it-IT"/>
        </w:rPr>
        <w:t xml:space="preserve">stabilità, l'inflazione seguita alla pandemia Covid non si è ancora abbassata ai livelli auspicati. Inoltre, la crescita del GDP resta suscettibile a variazioni </w:t>
      </w:r>
      <w:r w:rsidR="00D52667">
        <w:rPr>
          <w:rFonts w:ascii="Tahoma" w:hAnsi="Tahoma" w:cs="Tahoma"/>
          <w:color w:val="19191A"/>
          <w:lang w:val="it-IT"/>
        </w:rPr>
        <w:t xml:space="preserve">del </w:t>
      </w:r>
      <w:r w:rsidRPr="00CF1C93">
        <w:rPr>
          <w:rFonts w:ascii="Tahoma" w:hAnsi="Tahoma" w:cs="Tahoma"/>
          <w:color w:val="19191A"/>
          <w:lang w:val="it-IT"/>
        </w:rPr>
        <w:t>flusso migratorio, che al momento è piuttosto volatile</w:t>
      </w:r>
      <w:r w:rsidR="00A750D9">
        <w:rPr>
          <w:rFonts w:ascii="Tahoma" w:hAnsi="Tahoma" w:cs="Tahoma"/>
          <w:color w:val="19191A"/>
          <w:lang w:val="it-IT"/>
        </w:rPr>
        <w:t>, e ad altri fattori.</w:t>
      </w:r>
    </w:p>
    <w:p w14:paraId="4703307B" w14:textId="22E8F536" w:rsidR="00CF1C93" w:rsidRDefault="00CF1C93"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r w:rsidRPr="004E6B03">
        <w:rPr>
          <w:rFonts w:ascii="Tahoma" w:hAnsi="Tahoma" w:cs="Tahoma"/>
          <w:color w:val="000000" w:themeColor="text1"/>
          <w:spacing w:val="-6"/>
          <w:lang w:val="it-IT"/>
        </w:rPr>
        <w:t>L'alta probabilità di disastri naturali sul territorio neozelandese rappresenta un fattore di rischio per l'economia interna e per gli investimenti esteri, e rende necessari notevoli costi legati a misure preventive, coperture assicurative e</w:t>
      </w:r>
      <w:r w:rsidR="0011326C">
        <w:rPr>
          <w:rFonts w:ascii="Tahoma" w:hAnsi="Tahoma" w:cs="Tahoma"/>
          <w:color w:val="000000" w:themeColor="text1"/>
          <w:spacing w:val="-6"/>
          <w:lang w:val="it-IT"/>
        </w:rPr>
        <w:t>d</w:t>
      </w:r>
      <w:r w:rsidRPr="004E6B03">
        <w:rPr>
          <w:rFonts w:ascii="Tahoma" w:hAnsi="Tahoma" w:cs="Tahoma"/>
          <w:color w:val="000000" w:themeColor="text1"/>
          <w:spacing w:val="-6"/>
          <w:lang w:val="it-IT"/>
        </w:rPr>
        <w:t xml:space="preserve"> eventuale ricostruzione.</w:t>
      </w:r>
    </w:p>
    <w:p w14:paraId="6067B7D9" w14:textId="77777777" w:rsidR="00CF1C93" w:rsidRDefault="00CF1C93"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r w:rsidRPr="004E6B03">
        <w:rPr>
          <w:rFonts w:ascii="Tahoma" w:hAnsi="Tahoma" w:cs="Tahoma"/>
          <w:color w:val="000000" w:themeColor="text1"/>
          <w:spacing w:val="-6"/>
          <w:lang w:val="it-IT"/>
        </w:rPr>
        <w:t xml:space="preserve">Le limitate dimensioni del mercato possono tradursi in uno scarso volume degli ordini rispetto ad altri mercati. Inoltre, la distanza dall’Europa incide notevolmente sui costi di spedizione. </w:t>
      </w:r>
    </w:p>
    <w:p w14:paraId="3BA06D2C" w14:textId="2307C116" w:rsidR="00292065" w:rsidRDefault="00CF1C93"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r w:rsidRPr="004E6B03">
        <w:rPr>
          <w:rFonts w:ascii="Tahoma" w:hAnsi="Tahoma" w:cs="Tahoma"/>
          <w:color w:val="000000" w:themeColor="text1"/>
          <w:spacing w:val="-6"/>
          <w:lang w:val="it-IT"/>
        </w:rPr>
        <w:t xml:space="preserve">Infine, la fluttuazione del tasso di cambio tra l’Euro ed il dollaro neozelandese influenza i costi delle importazioni, rendendo di conseguenza il prezzo finale dei beni importati più elevato rispetto a quello dei prodotti locali. </w:t>
      </w:r>
    </w:p>
    <w:p w14:paraId="7B873903" w14:textId="0DA327FF" w:rsidR="00ED60E0" w:rsidRDefault="00ED60E0"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p>
    <w:p w14:paraId="47421783" w14:textId="4D8CC711" w:rsidR="00ED60E0" w:rsidRDefault="00ED60E0"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p>
    <w:p w14:paraId="2CBDC625" w14:textId="076753A9" w:rsidR="00ED60E0" w:rsidRDefault="00ED60E0"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p>
    <w:p w14:paraId="2201222F" w14:textId="208929DC" w:rsidR="00ED60E0" w:rsidRDefault="00ED60E0"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p>
    <w:p w14:paraId="4917AD05" w14:textId="77777777" w:rsidR="00ED60E0" w:rsidRPr="00292065" w:rsidRDefault="00ED60E0" w:rsidP="00817E8E">
      <w:pPr>
        <w:pStyle w:val="NormalWeb"/>
        <w:shd w:val="clear" w:color="auto" w:fill="FFFFFF"/>
        <w:spacing w:before="0" w:beforeAutospacing="0" w:line="360" w:lineRule="auto"/>
        <w:contextualSpacing/>
        <w:jc w:val="both"/>
        <w:rPr>
          <w:rFonts w:ascii="Tahoma" w:hAnsi="Tahoma" w:cs="Tahoma"/>
          <w:color w:val="000000" w:themeColor="text1"/>
          <w:spacing w:val="-6"/>
          <w:lang w:val="it-IT"/>
        </w:rPr>
      </w:pPr>
    </w:p>
    <w:p w14:paraId="0BAD5D60" w14:textId="00D09DEA" w:rsidR="00D15EC6" w:rsidRPr="00D44C71" w:rsidRDefault="00D15EC6" w:rsidP="00817E8E">
      <w:pPr>
        <w:pStyle w:val="ListParagraph"/>
        <w:numPr>
          <w:ilvl w:val="0"/>
          <w:numId w:val="26"/>
        </w:numPr>
        <w:spacing w:line="360" w:lineRule="auto"/>
        <w:rPr>
          <w:rFonts w:ascii="Tahoma" w:hAnsi="Tahoma" w:cs="Tahoma"/>
          <w:b/>
          <w:bCs/>
          <w:color w:val="2F5496" w:themeColor="accent1" w:themeShade="BF"/>
          <w:sz w:val="24"/>
          <w:szCs w:val="24"/>
          <w:lang w:val="it-IT"/>
        </w:rPr>
      </w:pPr>
      <w:r w:rsidRPr="00604F96">
        <w:rPr>
          <w:rFonts w:ascii="Tahoma" w:eastAsia="Times New Roman" w:hAnsi="Tahoma" w:cs="Tahoma"/>
          <w:b/>
          <w:bCs/>
          <w:color w:val="2F5496" w:themeColor="accent1" w:themeShade="BF"/>
          <w:sz w:val="24"/>
          <w:szCs w:val="24"/>
          <w:lang w:val="it-IT" w:eastAsia="en-NZ"/>
        </w:rPr>
        <w:lastRenderedPageBreak/>
        <w:t>RICERCA SCIENTIFICA E INNOVAZIONE IN NUOVA ZELANDA</w:t>
      </w:r>
    </w:p>
    <w:p w14:paraId="5E46DC18" w14:textId="77777777" w:rsidR="00D44C71" w:rsidRPr="00604F96" w:rsidRDefault="00D44C71" w:rsidP="00817E8E">
      <w:pPr>
        <w:pStyle w:val="ListParagraph"/>
        <w:spacing w:line="360" w:lineRule="auto"/>
        <w:ind w:left="450"/>
        <w:rPr>
          <w:rFonts w:ascii="Tahoma" w:hAnsi="Tahoma" w:cs="Tahoma"/>
          <w:b/>
          <w:bCs/>
          <w:color w:val="2F5496" w:themeColor="accent1" w:themeShade="BF"/>
          <w:sz w:val="24"/>
          <w:szCs w:val="24"/>
          <w:lang w:val="it-IT"/>
        </w:rPr>
      </w:pPr>
    </w:p>
    <w:p w14:paraId="566E6514" w14:textId="0401BF2C" w:rsidR="00D15EC6" w:rsidRPr="00DF7B7C" w:rsidRDefault="00DF7B7C" w:rsidP="00817E8E">
      <w:pPr>
        <w:pStyle w:val="ListParagraph"/>
        <w:numPr>
          <w:ilvl w:val="1"/>
          <w:numId w:val="26"/>
        </w:numPr>
        <w:spacing w:before="100" w:beforeAutospacing="1" w:after="100" w:afterAutospacing="1" w:line="360" w:lineRule="auto"/>
        <w:rPr>
          <w:rFonts w:ascii="Tahoma" w:eastAsia="Times New Roman" w:hAnsi="Tahoma" w:cs="Tahoma"/>
          <w:color w:val="2F5496" w:themeColor="accent1" w:themeShade="BF"/>
          <w:sz w:val="24"/>
          <w:szCs w:val="24"/>
          <w:lang w:val="it-IT" w:eastAsia="en-NZ"/>
        </w:rPr>
      </w:pPr>
      <w:r w:rsidRPr="00DF7B7C">
        <w:rPr>
          <w:rFonts w:ascii="Tahoma" w:eastAsia="Times New Roman" w:hAnsi="Tahoma" w:cs="Tahoma"/>
          <w:b/>
          <w:bCs/>
          <w:color w:val="2F5496" w:themeColor="accent1" w:themeShade="BF"/>
          <w:sz w:val="24"/>
          <w:szCs w:val="24"/>
          <w:lang w:val="it-IT" w:eastAsia="en-NZ"/>
        </w:rPr>
        <w:t>GUIDA ALLE OPPORTUNITÀ PER LE AZIENDE ITALIANE</w:t>
      </w:r>
    </w:p>
    <w:p w14:paraId="6428920C" w14:textId="53319136"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La Nuova Zelanda si trova oggi in una fase di </w:t>
      </w:r>
      <w:r w:rsidRPr="004E6B03">
        <w:rPr>
          <w:rStyle w:val="Strong"/>
          <w:rFonts w:ascii="Tahoma" w:hAnsi="Tahoma" w:cs="Tahoma"/>
          <w:b w:val="0"/>
          <w:bCs w:val="0"/>
          <w:lang w:val="it-IT"/>
        </w:rPr>
        <w:t>profonda trasformazione del proprio sistema della ricerca scientifica, dell’innovazione e della tecnologia</w:t>
      </w:r>
      <w:r w:rsidR="00097F86" w:rsidRPr="004E6B03">
        <w:rPr>
          <w:rFonts w:ascii="Tahoma" w:hAnsi="Tahoma" w:cs="Tahoma"/>
          <w:lang w:val="it-IT"/>
        </w:rPr>
        <w:t>,</w:t>
      </w:r>
      <w:r w:rsidRPr="004E6B03">
        <w:rPr>
          <w:rFonts w:ascii="Tahoma" w:hAnsi="Tahoma" w:cs="Tahoma"/>
          <w:b/>
          <w:bCs/>
          <w:lang w:val="it-IT"/>
        </w:rPr>
        <w:t xml:space="preserve"> </w:t>
      </w:r>
      <w:r w:rsidRPr="004E6B03">
        <w:rPr>
          <w:rFonts w:ascii="Tahoma" w:hAnsi="Tahoma" w:cs="Tahoma"/>
          <w:lang w:val="it-IT"/>
        </w:rPr>
        <w:t>un’evoluzione che sta ridefinendo radicalmente le sue capacità di generare conoscenza, attrarre investimenti, sostenere la crescita economica e sviluppare partnership internazionali ad alto valore aggiunto.</w:t>
      </w:r>
    </w:p>
    <w:p w14:paraId="0377B1C7" w14:textId="6A67BD35" w:rsidR="00D15EC6" w:rsidRPr="004E6B03" w:rsidRDefault="00D15EC6" w:rsidP="00817E8E">
      <w:pPr>
        <w:pStyle w:val="NormalWeb"/>
        <w:spacing w:line="360" w:lineRule="auto"/>
        <w:contextualSpacing/>
        <w:jc w:val="both"/>
        <w:rPr>
          <w:rFonts w:ascii="Tahoma" w:hAnsi="Tahoma" w:cs="Tahoma"/>
          <w:b/>
          <w:bCs/>
          <w:lang w:val="it-IT"/>
        </w:rPr>
      </w:pPr>
      <w:r w:rsidRPr="004E6B03">
        <w:rPr>
          <w:rFonts w:ascii="Tahoma" w:hAnsi="Tahoma" w:cs="Tahoma"/>
          <w:lang w:val="it-IT"/>
        </w:rPr>
        <w:t>Il Paese ha storicamente costruito il proprio ecosistema della R&amp;I attorno a università, Crown Research Institutes (CRI), centri di</w:t>
      </w:r>
      <w:r w:rsidR="00457259">
        <w:rPr>
          <w:rFonts w:ascii="Tahoma" w:hAnsi="Tahoma" w:cs="Tahoma"/>
          <w:lang w:val="it-IT"/>
        </w:rPr>
        <w:t xml:space="preserve"> ricerca di</w:t>
      </w:r>
      <w:r w:rsidRPr="004E6B03">
        <w:rPr>
          <w:rFonts w:ascii="Tahoma" w:hAnsi="Tahoma" w:cs="Tahoma"/>
          <w:lang w:val="it-IT"/>
        </w:rPr>
        <w:t xml:space="preserve"> eccellenza e piattaforme di collaborazione pubblico-private. Tuttavia, negli ultimi anni il governo neozelandese ha avviato un processo di riforma senza precedenti, con l’obiettivo di</w:t>
      </w:r>
      <w:r w:rsidRPr="004E6B03">
        <w:rPr>
          <w:rFonts w:ascii="Tahoma" w:hAnsi="Tahoma" w:cs="Tahoma"/>
          <w:b/>
          <w:bCs/>
          <w:lang w:val="it-IT"/>
        </w:rPr>
        <w:t xml:space="preserve"> </w:t>
      </w:r>
      <w:r w:rsidRPr="004E6B03">
        <w:rPr>
          <w:rStyle w:val="Strong"/>
          <w:rFonts w:ascii="Tahoma" w:hAnsi="Tahoma" w:cs="Tahoma"/>
          <w:b w:val="0"/>
          <w:bCs w:val="0"/>
          <w:lang w:val="it-IT"/>
        </w:rPr>
        <w:t>semplificare la governance</w:t>
      </w:r>
      <w:r w:rsidRPr="004E6B03">
        <w:rPr>
          <w:rFonts w:ascii="Tahoma" w:hAnsi="Tahoma" w:cs="Tahoma"/>
          <w:lang w:val="it-IT"/>
        </w:rPr>
        <w:t>,</w:t>
      </w:r>
      <w:r w:rsidRPr="004E6B03">
        <w:rPr>
          <w:rFonts w:ascii="Tahoma" w:hAnsi="Tahoma" w:cs="Tahoma"/>
          <w:b/>
          <w:bCs/>
          <w:lang w:val="it-IT"/>
        </w:rPr>
        <w:t xml:space="preserve"> </w:t>
      </w:r>
      <w:r w:rsidRPr="004E6B03">
        <w:rPr>
          <w:rStyle w:val="Strong"/>
          <w:rFonts w:ascii="Tahoma" w:hAnsi="Tahoma" w:cs="Tahoma"/>
          <w:b w:val="0"/>
          <w:bCs w:val="0"/>
          <w:lang w:val="it-IT"/>
        </w:rPr>
        <w:t>aumentare l’impatto della ricerca sull’economia</w:t>
      </w:r>
      <w:r w:rsidRPr="004E6B03">
        <w:rPr>
          <w:rFonts w:ascii="Tahoma" w:hAnsi="Tahoma" w:cs="Tahoma"/>
          <w:lang w:val="it-IT"/>
        </w:rPr>
        <w:t xml:space="preserve"> e</w:t>
      </w:r>
      <w:r w:rsidRPr="004E6B03">
        <w:rPr>
          <w:rFonts w:ascii="Tahoma" w:hAnsi="Tahoma" w:cs="Tahoma"/>
          <w:b/>
          <w:bCs/>
          <w:lang w:val="it-IT"/>
        </w:rPr>
        <w:t xml:space="preserve"> </w:t>
      </w:r>
      <w:r w:rsidRPr="004E6B03">
        <w:rPr>
          <w:rStyle w:val="Strong"/>
          <w:rFonts w:ascii="Tahoma" w:hAnsi="Tahoma" w:cs="Tahoma"/>
          <w:b w:val="0"/>
          <w:bCs w:val="0"/>
          <w:lang w:val="it-IT"/>
        </w:rPr>
        <w:t>potenziare la capacità di innovazione in settori chiave</w:t>
      </w:r>
      <w:r w:rsidRPr="004E6B03">
        <w:rPr>
          <w:rFonts w:ascii="Tahoma" w:hAnsi="Tahoma" w:cs="Tahoma"/>
          <w:lang w:val="it-IT"/>
        </w:rPr>
        <w:t>, come la bioeconomia, l</w:t>
      </w:r>
      <w:r w:rsidR="00ED60E0">
        <w:rPr>
          <w:rFonts w:ascii="Tahoma" w:hAnsi="Tahoma" w:cs="Tahoma"/>
          <w:lang w:val="it-IT"/>
        </w:rPr>
        <w:t>e</w:t>
      </w:r>
      <w:r w:rsidRPr="004E6B03">
        <w:rPr>
          <w:rFonts w:ascii="Tahoma" w:hAnsi="Tahoma" w:cs="Tahoma"/>
          <w:lang w:val="it-IT"/>
        </w:rPr>
        <w:t xml:space="preserve"> tecnologi</w:t>
      </w:r>
      <w:r w:rsidR="00ED60E0">
        <w:rPr>
          <w:rFonts w:ascii="Tahoma" w:hAnsi="Tahoma" w:cs="Tahoma"/>
          <w:lang w:val="it-IT"/>
        </w:rPr>
        <w:t>e</w:t>
      </w:r>
      <w:r w:rsidRPr="004E6B03">
        <w:rPr>
          <w:rFonts w:ascii="Tahoma" w:hAnsi="Tahoma" w:cs="Tahoma"/>
          <w:lang w:val="it-IT"/>
        </w:rPr>
        <w:t xml:space="preserve"> avanzat</w:t>
      </w:r>
      <w:r w:rsidR="00ED60E0">
        <w:rPr>
          <w:rFonts w:ascii="Tahoma" w:hAnsi="Tahoma" w:cs="Tahoma"/>
          <w:lang w:val="it-IT"/>
        </w:rPr>
        <w:t>e</w:t>
      </w:r>
      <w:r w:rsidRPr="004E6B03">
        <w:rPr>
          <w:rFonts w:ascii="Tahoma" w:hAnsi="Tahoma" w:cs="Tahoma"/>
          <w:lang w:val="it-IT"/>
        </w:rPr>
        <w:t>, i materiali innovativi, l’intelligenza artificiale e le scienze ambientali.</w:t>
      </w:r>
    </w:p>
    <w:p w14:paraId="6CB73B9E" w14:textId="36057044" w:rsidR="00D15EC6"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Questi cambiamenti rappresentano per le imprese </w:t>
      </w:r>
      <w:r w:rsidR="00ED60E0">
        <w:rPr>
          <w:rFonts w:ascii="Tahoma" w:hAnsi="Tahoma" w:cs="Tahoma"/>
          <w:lang w:val="it-IT"/>
        </w:rPr>
        <w:t>e gli enti di ricerca italiani</w:t>
      </w:r>
      <w:r w:rsidRPr="004E6B03">
        <w:rPr>
          <w:rFonts w:ascii="Tahoma" w:hAnsi="Tahoma" w:cs="Tahoma"/>
          <w:lang w:val="it-IT"/>
        </w:rPr>
        <w:t xml:space="preserve"> un’opportunità unica di inserimento in un ecosistema scientifico flessibile, altamente collaborativo e aperto al contributo internazionale.</w:t>
      </w:r>
    </w:p>
    <w:p w14:paraId="09B0BC92" w14:textId="6E414ADD" w:rsidR="00ED60E0" w:rsidRDefault="00ED60E0" w:rsidP="00817E8E">
      <w:pPr>
        <w:pStyle w:val="NormalWeb"/>
        <w:spacing w:line="360" w:lineRule="auto"/>
        <w:contextualSpacing/>
        <w:jc w:val="both"/>
        <w:rPr>
          <w:rFonts w:ascii="Tahoma" w:hAnsi="Tahoma" w:cs="Tahoma"/>
          <w:lang w:val="it-IT"/>
        </w:rPr>
      </w:pPr>
      <w:r>
        <w:rPr>
          <w:rFonts w:ascii="Tahoma" w:hAnsi="Tahoma" w:cs="Tahoma"/>
          <w:lang w:val="it-IT"/>
        </w:rPr>
        <w:t xml:space="preserve">Sono già in essere numerose forme di collaborazione fra università ed enti di ricerca italiani e neozelandesi, sia grazie ad intese bilaterali sia grazie al programma Erasmus+, anche con scambi di studenti e ricercatori. Di particolare interesse sotto il profilo di future opportunità potrebbe essere la collaborazione nella ricerca sull’Antartide. </w:t>
      </w:r>
    </w:p>
    <w:p w14:paraId="4C20818F" w14:textId="77777777" w:rsidR="00817E8E" w:rsidRPr="00CF42CE" w:rsidRDefault="00817E8E" w:rsidP="00817E8E">
      <w:pPr>
        <w:pStyle w:val="NormalWeb"/>
        <w:spacing w:line="360" w:lineRule="auto"/>
        <w:contextualSpacing/>
        <w:jc w:val="both"/>
        <w:rPr>
          <w:rFonts w:ascii="Tahoma" w:hAnsi="Tahoma" w:cs="Tahoma"/>
          <w:lang w:val="it-IT"/>
        </w:rPr>
      </w:pPr>
    </w:p>
    <w:p w14:paraId="4C7718DB" w14:textId="5DCDC04C" w:rsidR="00D15EC6" w:rsidRPr="0028155E" w:rsidRDefault="0028155E" w:rsidP="00817E8E">
      <w:pPr>
        <w:pStyle w:val="NoSpacing"/>
        <w:numPr>
          <w:ilvl w:val="1"/>
          <w:numId w:val="26"/>
        </w:numPr>
        <w:rPr>
          <w:rFonts w:ascii="Tahoma" w:hAnsi="Tahoma" w:cs="Tahoma"/>
          <w:b/>
          <w:bCs/>
          <w:color w:val="2F5496" w:themeColor="accent1" w:themeShade="BF"/>
          <w:sz w:val="24"/>
          <w:szCs w:val="24"/>
          <w:lang w:val="it-IT"/>
        </w:rPr>
      </w:pPr>
      <w:r w:rsidRPr="0028155E">
        <w:rPr>
          <w:rFonts w:ascii="Tahoma" w:hAnsi="Tahoma" w:cs="Tahoma"/>
          <w:b/>
          <w:bCs/>
          <w:color w:val="2F5496" w:themeColor="accent1" w:themeShade="BF"/>
          <w:sz w:val="24"/>
          <w:szCs w:val="24"/>
          <w:lang w:val="it-IT"/>
        </w:rPr>
        <w:t>UN SISTEMA DELLA RICERCA IN EVOLUZIONE</w:t>
      </w:r>
    </w:p>
    <w:p w14:paraId="0DF64DC6" w14:textId="4F2C4AD6"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La Nuova Zelanda sta introducendo una nuova architettura istituzionale basata sulla creazione di un organismo unico e centralizzato, </w:t>
      </w:r>
      <w:r w:rsidRPr="00CF1C93">
        <w:rPr>
          <w:rStyle w:val="Strong"/>
          <w:rFonts w:ascii="Tahoma" w:hAnsi="Tahoma" w:cs="Tahoma"/>
          <w:b w:val="0"/>
          <w:bCs w:val="0"/>
          <w:lang w:val="it-IT"/>
        </w:rPr>
        <w:t>Research Funding New Zealand (RFNZ)</w:t>
      </w:r>
      <w:r w:rsidRPr="00CF1C93">
        <w:rPr>
          <w:rFonts w:ascii="Tahoma" w:hAnsi="Tahoma" w:cs="Tahoma"/>
          <w:b/>
          <w:bCs/>
          <w:lang w:val="it-IT"/>
        </w:rPr>
        <w:t>,</w:t>
      </w:r>
      <w:r w:rsidRPr="004E6B03">
        <w:rPr>
          <w:rFonts w:ascii="Tahoma" w:hAnsi="Tahoma" w:cs="Tahoma"/>
          <w:lang w:val="it-IT"/>
        </w:rPr>
        <w:t xml:space="preserve"> pensato per razionalizzare e rendere più trasparente l’allocazione dei fondi pubblici destinati alla ricerca</w:t>
      </w:r>
      <w:r w:rsidR="004D01DB">
        <w:rPr>
          <w:rFonts w:ascii="Tahoma" w:hAnsi="Tahoma" w:cs="Tahoma"/>
          <w:lang w:val="it-IT"/>
        </w:rPr>
        <w:t>.</w:t>
      </w:r>
    </w:p>
    <w:p w14:paraId="3D126E36" w14:textId="77777777"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lastRenderedPageBreak/>
        <w:t xml:space="preserve">Parallelamente, il Governo ha istituito un </w:t>
      </w:r>
      <w:r w:rsidRPr="004D01DB">
        <w:rPr>
          <w:rStyle w:val="Strong"/>
          <w:rFonts w:ascii="Tahoma" w:hAnsi="Tahoma" w:cs="Tahoma"/>
          <w:b w:val="0"/>
          <w:bCs w:val="0"/>
          <w:lang w:val="it-IT"/>
        </w:rPr>
        <w:t>Consiglio di consulenza scientifica presso l’Ufficio del Primo Ministro</w:t>
      </w:r>
      <w:r w:rsidRPr="004E6B03">
        <w:rPr>
          <w:rFonts w:ascii="Tahoma" w:hAnsi="Tahoma" w:cs="Tahoma"/>
          <w:lang w:val="it-IT"/>
        </w:rPr>
        <w:t>, incaricato di fornire indirizzi strategici e supervisionare l’attuazione delle riforme.</w:t>
      </w:r>
    </w:p>
    <w:p w14:paraId="6BA1AB34" w14:textId="2DBEA671" w:rsidR="00212304"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Nell’ambito della digitalizzazione del sistema, è stato inoltre sviluppato </w:t>
      </w:r>
      <w:r w:rsidR="00457259">
        <w:rPr>
          <w:rFonts w:ascii="Tahoma" w:hAnsi="Tahoma" w:cs="Tahoma"/>
          <w:lang w:val="it-IT"/>
        </w:rPr>
        <w:t>il</w:t>
      </w:r>
      <w:r w:rsidRPr="004D01DB">
        <w:rPr>
          <w:rFonts w:ascii="Tahoma" w:hAnsi="Tahoma" w:cs="Tahoma"/>
          <w:b/>
          <w:bCs/>
          <w:lang w:val="it-IT"/>
        </w:rPr>
        <w:t xml:space="preserve"> </w:t>
      </w:r>
      <w:r w:rsidRPr="004D01DB">
        <w:rPr>
          <w:rStyle w:val="Strong"/>
          <w:rFonts w:ascii="Tahoma" w:hAnsi="Tahoma" w:cs="Tahoma"/>
          <w:b w:val="0"/>
          <w:bCs w:val="0"/>
          <w:lang w:val="it-IT"/>
        </w:rPr>
        <w:t>New Zealand Research Information System (NZRIS)</w:t>
      </w:r>
      <w:r w:rsidRPr="004D01DB">
        <w:rPr>
          <w:rFonts w:ascii="Tahoma" w:hAnsi="Tahoma" w:cs="Tahoma"/>
          <w:b/>
          <w:bCs/>
          <w:lang w:val="it-IT"/>
        </w:rPr>
        <w:t>,</w:t>
      </w:r>
      <w:r w:rsidRPr="004E6B03">
        <w:rPr>
          <w:rFonts w:ascii="Tahoma" w:hAnsi="Tahoma" w:cs="Tahoma"/>
          <w:lang w:val="it-IT"/>
        </w:rPr>
        <w:t xml:space="preserve"> una piattaforma nazionale che raccoglie dati su progetti, ricercatori, enti finanziatori e infrastrutture di ricerca, utile sia per l’analisi strategica </w:t>
      </w:r>
      <w:r w:rsidR="00457259">
        <w:rPr>
          <w:rFonts w:ascii="Tahoma" w:hAnsi="Tahoma" w:cs="Tahoma"/>
          <w:lang w:val="it-IT"/>
        </w:rPr>
        <w:t>che</w:t>
      </w:r>
      <w:r w:rsidRPr="004E6B03">
        <w:rPr>
          <w:rFonts w:ascii="Tahoma" w:hAnsi="Tahoma" w:cs="Tahoma"/>
          <w:lang w:val="it-IT"/>
        </w:rPr>
        <w:t xml:space="preserve"> per facilitare </w:t>
      </w:r>
      <w:r w:rsidR="00907722">
        <w:rPr>
          <w:rFonts w:ascii="Tahoma" w:hAnsi="Tahoma" w:cs="Tahoma"/>
          <w:lang w:val="it-IT"/>
        </w:rPr>
        <w:t xml:space="preserve">le </w:t>
      </w:r>
      <w:r w:rsidRPr="004E6B03">
        <w:rPr>
          <w:rFonts w:ascii="Tahoma" w:hAnsi="Tahoma" w:cs="Tahoma"/>
          <w:lang w:val="it-IT"/>
        </w:rPr>
        <w:t>collaborazioni nazionali e internazionali.</w:t>
      </w:r>
    </w:p>
    <w:p w14:paraId="0603F63A" w14:textId="77777777" w:rsidR="00817E8E" w:rsidRPr="00212304" w:rsidRDefault="00817E8E" w:rsidP="00817E8E">
      <w:pPr>
        <w:pStyle w:val="NormalWeb"/>
        <w:spacing w:line="360" w:lineRule="auto"/>
        <w:contextualSpacing/>
        <w:jc w:val="both"/>
        <w:rPr>
          <w:rFonts w:ascii="Tahoma" w:hAnsi="Tahoma" w:cs="Tahoma"/>
          <w:lang w:val="it-IT"/>
        </w:rPr>
      </w:pPr>
    </w:p>
    <w:p w14:paraId="18825D13" w14:textId="36D792B1" w:rsidR="00D15EC6" w:rsidRPr="0028155E" w:rsidRDefault="00D15EC6" w:rsidP="00817E8E">
      <w:pPr>
        <w:pStyle w:val="NoSpacing"/>
        <w:numPr>
          <w:ilvl w:val="1"/>
          <w:numId w:val="26"/>
        </w:numPr>
        <w:rPr>
          <w:rFonts w:ascii="Tahoma" w:hAnsi="Tahoma" w:cs="Tahoma"/>
          <w:b/>
          <w:bCs/>
          <w:color w:val="2F5496" w:themeColor="accent1" w:themeShade="BF"/>
          <w:sz w:val="24"/>
          <w:szCs w:val="24"/>
          <w:lang w:val="it-IT"/>
        </w:rPr>
      </w:pPr>
      <w:r w:rsidRPr="00212304">
        <w:rPr>
          <w:rFonts w:ascii="Tahoma" w:hAnsi="Tahoma" w:cs="Tahoma"/>
          <w:b/>
          <w:bCs/>
          <w:color w:val="2F5496" w:themeColor="accent1" w:themeShade="BF"/>
          <w:sz w:val="24"/>
          <w:szCs w:val="24"/>
          <w:lang w:val="it-IT"/>
        </w:rPr>
        <w:t xml:space="preserve"> </w:t>
      </w:r>
      <w:r w:rsidR="00CA208C" w:rsidRPr="0028155E">
        <w:rPr>
          <w:rFonts w:ascii="Tahoma" w:hAnsi="Tahoma" w:cs="Tahoma"/>
          <w:b/>
          <w:bCs/>
          <w:color w:val="2F5496" w:themeColor="accent1" w:themeShade="BF"/>
          <w:sz w:val="24"/>
          <w:szCs w:val="24"/>
          <w:lang w:val="it-IT"/>
        </w:rPr>
        <w:t>NUOVE ISTITUZIONI, NUOVI POLI DI ECCELLENZA</w:t>
      </w:r>
    </w:p>
    <w:p w14:paraId="5C39523B" w14:textId="59B33234"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Una delle trasformazioni più significative riguarda le storiche Crown Research Institutes, che verranno gradualmente riunite in tre nuove </w:t>
      </w:r>
      <w:r w:rsidRPr="00CF1C93">
        <w:rPr>
          <w:rStyle w:val="Strong"/>
          <w:rFonts w:ascii="Tahoma" w:hAnsi="Tahoma" w:cs="Tahoma"/>
          <w:b w:val="0"/>
          <w:bCs w:val="0"/>
          <w:lang w:val="it-IT"/>
        </w:rPr>
        <w:t>Public Research Organisations (PRO)</w:t>
      </w:r>
      <w:r w:rsidRPr="004E6B03">
        <w:rPr>
          <w:rFonts w:ascii="Tahoma" w:hAnsi="Tahoma" w:cs="Tahoma"/>
          <w:lang w:val="it-IT"/>
        </w:rPr>
        <w:t>:</w:t>
      </w:r>
    </w:p>
    <w:p w14:paraId="1E148158" w14:textId="5BE8EA7E" w:rsidR="00D15EC6" w:rsidRPr="004E6B03" w:rsidRDefault="00D15EC6" w:rsidP="00817E8E">
      <w:pPr>
        <w:pStyle w:val="NormalWeb"/>
        <w:numPr>
          <w:ilvl w:val="0"/>
          <w:numId w:val="15"/>
        </w:numPr>
        <w:spacing w:line="360" w:lineRule="auto"/>
        <w:contextualSpacing/>
        <w:jc w:val="both"/>
        <w:rPr>
          <w:rFonts w:ascii="Tahoma" w:hAnsi="Tahoma" w:cs="Tahoma"/>
          <w:lang w:val="it-IT"/>
        </w:rPr>
      </w:pPr>
      <w:r w:rsidRPr="00CF1C93">
        <w:rPr>
          <w:rStyle w:val="Strong"/>
          <w:rFonts w:ascii="Tahoma" w:hAnsi="Tahoma" w:cs="Tahoma"/>
          <w:b w:val="0"/>
          <w:bCs w:val="0"/>
          <w:lang w:val="it-IT"/>
        </w:rPr>
        <w:t>Istituto per la Bioeconomia (NZ Institute for Bioeconomy Science)</w:t>
      </w:r>
      <w:r w:rsidR="004D01DB">
        <w:rPr>
          <w:rFonts w:ascii="Tahoma" w:hAnsi="Tahoma" w:cs="Tahoma"/>
          <w:lang w:val="it-IT"/>
        </w:rPr>
        <w:t xml:space="preserve">, </w:t>
      </w:r>
      <w:r w:rsidRPr="004E6B03">
        <w:rPr>
          <w:rFonts w:ascii="Tahoma" w:hAnsi="Tahoma" w:cs="Tahoma"/>
          <w:lang w:val="it-IT"/>
        </w:rPr>
        <w:t>dedicato alle scienze agrarie, forestali, biotecnologiche e alla sostenibilità delle risorse naturali</w:t>
      </w:r>
      <w:r w:rsidR="004D01DB">
        <w:rPr>
          <w:rFonts w:ascii="Tahoma" w:hAnsi="Tahoma" w:cs="Tahoma"/>
          <w:lang w:val="it-IT"/>
        </w:rPr>
        <w:t xml:space="preserve">. È </w:t>
      </w:r>
      <w:r w:rsidRPr="004E6B03">
        <w:rPr>
          <w:rFonts w:ascii="Tahoma" w:hAnsi="Tahoma" w:cs="Tahoma"/>
          <w:lang w:val="it-IT"/>
        </w:rPr>
        <w:t>nato dalla fusione dei principali CRI del settore</w:t>
      </w:r>
      <w:r w:rsidR="004D01DB">
        <w:rPr>
          <w:rFonts w:ascii="Tahoma" w:hAnsi="Tahoma" w:cs="Tahoma"/>
          <w:lang w:val="it-IT"/>
        </w:rPr>
        <w:t xml:space="preserve"> ed è</w:t>
      </w:r>
      <w:r w:rsidRPr="004E6B03">
        <w:rPr>
          <w:rFonts w:ascii="Tahoma" w:hAnsi="Tahoma" w:cs="Tahoma"/>
          <w:lang w:val="it-IT"/>
        </w:rPr>
        <w:t xml:space="preserve"> destinato a diventare un polo di competenza internazionale nella bioeconomia circolare</w:t>
      </w:r>
      <w:r w:rsidR="004D01DB">
        <w:rPr>
          <w:rFonts w:ascii="Tahoma" w:hAnsi="Tahoma" w:cs="Tahoma"/>
          <w:lang w:val="it-IT"/>
        </w:rPr>
        <w:t>;</w:t>
      </w:r>
    </w:p>
    <w:p w14:paraId="13B2D3A1" w14:textId="0892F15E" w:rsidR="00D15EC6" w:rsidRPr="004E6B03" w:rsidRDefault="00D15EC6" w:rsidP="00817E8E">
      <w:pPr>
        <w:pStyle w:val="NormalWeb"/>
        <w:numPr>
          <w:ilvl w:val="0"/>
          <w:numId w:val="15"/>
        </w:numPr>
        <w:spacing w:line="360" w:lineRule="auto"/>
        <w:contextualSpacing/>
        <w:jc w:val="both"/>
        <w:rPr>
          <w:rFonts w:ascii="Tahoma" w:hAnsi="Tahoma" w:cs="Tahoma"/>
          <w:lang w:val="it-IT"/>
        </w:rPr>
      </w:pPr>
      <w:r w:rsidRPr="00CF1C93">
        <w:rPr>
          <w:rStyle w:val="Strong"/>
          <w:rFonts w:ascii="Tahoma" w:hAnsi="Tahoma" w:cs="Tahoma"/>
          <w:b w:val="0"/>
          <w:bCs w:val="0"/>
          <w:lang w:val="it-IT"/>
        </w:rPr>
        <w:t>Istituto per le Scienze della Terra e della Resilienza</w:t>
      </w:r>
      <w:r w:rsidR="004D01DB">
        <w:rPr>
          <w:rStyle w:val="Strong"/>
          <w:rFonts w:ascii="Tahoma" w:hAnsi="Tahoma" w:cs="Tahoma"/>
          <w:b w:val="0"/>
          <w:bCs w:val="0"/>
          <w:lang w:val="it-IT"/>
        </w:rPr>
        <w:t>,</w:t>
      </w:r>
      <w:r w:rsidRPr="004E6B03">
        <w:rPr>
          <w:rFonts w:ascii="Tahoma" w:hAnsi="Tahoma" w:cs="Tahoma"/>
          <w:lang w:val="it-IT"/>
        </w:rPr>
        <w:t xml:space="preserve"> focalizzato su rischi naturali, geoscienze, vulcanologia, cambiamenti climatici e gestione del territorio</w:t>
      </w:r>
      <w:r w:rsidR="004D01DB">
        <w:rPr>
          <w:rFonts w:ascii="Tahoma" w:hAnsi="Tahoma" w:cs="Tahoma"/>
          <w:lang w:val="it-IT"/>
        </w:rPr>
        <w:t>. H</w:t>
      </w:r>
      <w:r w:rsidRPr="004E6B03">
        <w:rPr>
          <w:rFonts w:ascii="Tahoma" w:hAnsi="Tahoma" w:cs="Tahoma"/>
          <w:lang w:val="it-IT"/>
        </w:rPr>
        <w:t xml:space="preserve">a l’obiettivo di rafforzare la resilienza del Paese a terremoti e altri </w:t>
      </w:r>
      <w:r w:rsidR="00A750D9">
        <w:rPr>
          <w:rFonts w:ascii="Tahoma" w:hAnsi="Tahoma" w:cs="Tahoma"/>
          <w:lang w:val="it-IT"/>
        </w:rPr>
        <w:t xml:space="preserve">rischi </w:t>
      </w:r>
      <w:r w:rsidRPr="004E6B03">
        <w:rPr>
          <w:rFonts w:ascii="Tahoma" w:hAnsi="Tahoma" w:cs="Tahoma"/>
          <w:lang w:val="it-IT"/>
        </w:rPr>
        <w:t>naturali</w:t>
      </w:r>
      <w:r w:rsidR="004D01DB">
        <w:rPr>
          <w:rFonts w:ascii="Tahoma" w:hAnsi="Tahoma" w:cs="Tahoma"/>
          <w:lang w:val="it-IT"/>
        </w:rPr>
        <w:t>;</w:t>
      </w:r>
    </w:p>
    <w:p w14:paraId="4E6D85FA" w14:textId="1F9D59D6" w:rsidR="00D15EC6" w:rsidRPr="004E6B03" w:rsidRDefault="00D15EC6" w:rsidP="00817E8E">
      <w:pPr>
        <w:pStyle w:val="NormalWeb"/>
        <w:numPr>
          <w:ilvl w:val="0"/>
          <w:numId w:val="15"/>
        </w:numPr>
        <w:spacing w:line="360" w:lineRule="auto"/>
        <w:contextualSpacing/>
        <w:jc w:val="both"/>
        <w:rPr>
          <w:rFonts w:ascii="Tahoma" w:hAnsi="Tahoma" w:cs="Tahoma"/>
          <w:lang w:val="it-IT"/>
        </w:rPr>
      </w:pPr>
      <w:r w:rsidRPr="00CF1C93">
        <w:rPr>
          <w:rStyle w:val="Strong"/>
          <w:rFonts w:ascii="Tahoma" w:hAnsi="Tahoma" w:cs="Tahoma"/>
          <w:b w:val="0"/>
          <w:bCs w:val="0"/>
          <w:lang w:val="it-IT"/>
        </w:rPr>
        <w:t>Istituto per la Salute, le Scienze Forensi e le Tecnologie Biomediche</w:t>
      </w:r>
      <w:r w:rsidR="006A44BA">
        <w:rPr>
          <w:rFonts w:ascii="Tahoma" w:hAnsi="Tahoma" w:cs="Tahoma"/>
          <w:lang w:val="it-IT"/>
        </w:rPr>
        <w:t>,</w:t>
      </w:r>
      <w:r w:rsidR="004D01DB">
        <w:rPr>
          <w:rFonts w:ascii="Tahoma" w:hAnsi="Tahoma" w:cs="Tahoma"/>
          <w:b/>
          <w:bCs/>
          <w:lang w:val="it-IT"/>
        </w:rPr>
        <w:t xml:space="preserve"> </w:t>
      </w:r>
      <w:r w:rsidRPr="004E6B03">
        <w:rPr>
          <w:rFonts w:ascii="Tahoma" w:hAnsi="Tahoma" w:cs="Tahoma"/>
          <w:lang w:val="it-IT"/>
        </w:rPr>
        <w:t>dedicato alla ricerca in ambito medico, genomico, diagnostico e alle tecnologie emergenti applicate alla salute pubblica.</w:t>
      </w:r>
    </w:p>
    <w:p w14:paraId="73023C5C" w14:textId="77777777" w:rsidR="00CA4186"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Questa riorganizzazione mira a superare la frammentazione, creando poli più riconoscibili a livello globale e più attraenti per collaborazioni industriali e </w:t>
      </w:r>
    </w:p>
    <w:p w14:paraId="214A41BD" w14:textId="37D28A89" w:rsidR="00D15EC6" w:rsidRPr="00B62923" w:rsidRDefault="00D15EC6" w:rsidP="00817E8E">
      <w:pPr>
        <w:pStyle w:val="NormalWeb"/>
        <w:spacing w:line="360" w:lineRule="auto"/>
        <w:contextualSpacing/>
        <w:jc w:val="both"/>
        <w:rPr>
          <w:rFonts w:ascii="Tahoma" w:hAnsi="Tahoma" w:cs="Tahoma"/>
        </w:rPr>
      </w:pPr>
      <w:r w:rsidRPr="00B62923">
        <w:rPr>
          <w:rFonts w:ascii="Tahoma" w:hAnsi="Tahoma" w:cs="Tahoma"/>
        </w:rPr>
        <w:t>accademiche.</w:t>
      </w:r>
    </w:p>
    <w:p w14:paraId="098BBD1F" w14:textId="36E45FD4" w:rsidR="00212304" w:rsidRDefault="00212304" w:rsidP="00817E8E">
      <w:pPr>
        <w:pStyle w:val="NoSpacing"/>
        <w:rPr>
          <w:rFonts w:ascii="Tahoma" w:hAnsi="Tahoma" w:cs="Tahoma"/>
          <w:b/>
          <w:bCs/>
          <w:color w:val="2F5496" w:themeColor="accent1" w:themeShade="BF"/>
        </w:rPr>
      </w:pPr>
    </w:p>
    <w:p w14:paraId="723D1E41" w14:textId="77777777" w:rsidR="00817E8E" w:rsidRPr="0028155E" w:rsidRDefault="00817E8E" w:rsidP="00817E8E">
      <w:pPr>
        <w:pStyle w:val="NoSpacing"/>
        <w:rPr>
          <w:rFonts w:ascii="Tahoma" w:hAnsi="Tahoma" w:cs="Tahoma"/>
          <w:b/>
          <w:bCs/>
          <w:color w:val="2F5496" w:themeColor="accent1" w:themeShade="BF"/>
        </w:rPr>
      </w:pPr>
    </w:p>
    <w:p w14:paraId="38C8A83B" w14:textId="411A930D" w:rsidR="00D15EC6" w:rsidRPr="0028155E" w:rsidRDefault="00CA208C" w:rsidP="00817E8E">
      <w:pPr>
        <w:pStyle w:val="NoSpacing"/>
        <w:numPr>
          <w:ilvl w:val="1"/>
          <w:numId w:val="26"/>
        </w:numPr>
        <w:rPr>
          <w:rFonts w:ascii="Tahoma" w:hAnsi="Tahoma" w:cs="Tahoma"/>
          <w:b/>
          <w:bCs/>
          <w:color w:val="2F5496" w:themeColor="accent1" w:themeShade="BF"/>
          <w:sz w:val="24"/>
          <w:szCs w:val="24"/>
          <w:lang w:val="it-IT"/>
        </w:rPr>
      </w:pPr>
      <w:r w:rsidRPr="0028155E">
        <w:rPr>
          <w:rFonts w:ascii="Tahoma" w:hAnsi="Tahoma" w:cs="Tahoma"/>
          <w:b/>
          <w:bCs/>
          <w:color w:val="2F5496" w:themeColor="accent1" w:themeShade="BF"/>
          <w:sz w:val="24"/>
          <w:szCs w:val="24"/>
          <w:lang w:val="it-IT"/>
        </w:rPr>
        <w:t>PRIORITÀ SCIENTIFICHE E TECNOLOGICHE DELLA NUOVA ZELANDA</w:t>
      </w:r>
    </w:p>
    <w:p w14:paraId="32F34157" w14:textId="5F698728" w:rsidR="00817E8E"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La strategia nazionale per la scienza e l’innovazione identifica una serie di </w:t>
      </w:r>
      <w:r w:rsidRPr="004E6B03">
        <w:rPr>
          <w:rStyle w:val="Strong"/>
          <w:rFonts w:ascii="Tahoma" w:hAnsi="Tahoma" w:cs="Tahoma"/>
          <w:b w:val="0"/>
          <w:bCs w:val="0"/>
          <w:lang w:val="it-IT"/>
        </w:rPr>
        <w:t>priorità tematiche</w:t>
      </w:r>
      <w:r w:rsidRPr="004E6B03">
        <w:rPr>
          <w:rFonts w:ascii="Tahoma" w:hAnsi="Tahoma" w:cs="Tahoma"/>
          <w:lang w:val="it-IT"/>
        </w:rPr>
        <w:t xml:space="preserve"> che guideranno gli investimenti pubblici nei prossimi anni. Tra le aree più rilevanti figurano</w:t>
      </w:r>
      <w:r w:rsidR="00CA208C">
        <w:rPr>
          <w:rFonts w:ascii="Tahoma" w:hAnsi="Tahoma" w:cs="Tahoma"/>
          <w:lang w:val="it-IT"/>
        </w:rPr>
        <w:t xml:space="preserve">: bioeconomia e biotecnologie; tecnologie avanzate e materiali ad </w:t>
      </w:r>
      <w:r w:rsidR="00CA208C">
        <w:rPr>
          <w:rFonts w:ascii="Tahoma" w:hAnsi="Tahoma" w:cs="Tahoma"/>
          <w:lang w:val="it-IT"/>
        </w:rPr>
        <w:lastRenderedPageBreak/>
        <w:t>alte prestazioni; intelligenza artificiale e digitalizzazione; scienze ambientali</w:t>
      </w:r>
      <w:r w:rsidR="006A44BA">
        <w:rPr>
          <w:rFonts w:ascii="Tahoma" w:hAnsi="Tahoma" w:cs="Tahoma"/>
          <w:lang w:val="it-IT"/>
        </w:rPr>
        <w:t xml:space="preserve"> e </w:t>
      </w:r>
      <w:r w:rsidR="00CA208C">
        <w:rPr>
          <w:rFonts w:ascii="Tahoma" w:hAnsi="Tahoma" w:cs="Tahoma"/>
          <w:lang w:val="it-IT"/>
        </w:rPr>
        <w:t xml:space="preserve">ricerca sulle malattie infettive. </w:t>
      </w:r>
    </w:p>
    <w:p w14:paraId="13586643" w14:textId="4157C5BF" w:rsidR="00817E8E" w:rsidRDefault="00817E8E" w:rsidP="00817E8E">
      <w:pPr>
        <w:pStyle w:val="NormalWeb"/>
        <w:spacing w:line="360" w:lineRule="auto"/>
        <w:contextualSpacing/>
        <w:jc w:val="both"/>
        <w:rPr>
          <w:rFonts w:ascii="Tahoma" w:hAnsi="Tahoma" w:cs="Tahoma"/>
          <w:lang w:val="it-IT"/>
        </w:rPr>
      </w:pPr>
    </w:p>
    <w:p w14:paraId="5F4A0D12" w14:textId="77777777" w:rsidR="00817E8E" w:rsidRPr="00212304" w:rsidRDefault="00817E8E" w:rsidP="00817E8E">
      <w:pPr>
        <w:pStyle w:val="NormalWeb"/>
        <w:spacing w:line="360" w:lineRule="auto"/>
        <w:contextualSpacing/>
        <w:jc w:val="both"/>
        <w:rPr>
          <w:rFonts w:ascii="Tahoma" w:hAnsi="Tahoma" w:cs="Tahoma"/>
          <w:lang w:val="it-IT"/>
        </w:rPr>
      </w:pPr>
    </w:p>
    <w:p w14:paraId="28C0F000" w14:textId="44043D4A" w:rsidR="00D15EC6" w:rsidRPr="00C20183" w:rsidRDefault="004D01DB" w:rsidP="00817E8E">
      <w:pPr>
        <w:pStyle w:val="NoSpacing"/>
        <w:numPr>
          <w:ilvl w:val="1"/>
          <w:numId w:val="26"/>
        </w:numPr>
        <w:rPr>
          <w:rFonts w:ascii="Tahoma" w:hAnsi="Tahoma" w:cs="Tahoma"/>
          <w:b/>
          <w:bCs/>
          <w:color w:val="2F5496" w:themeColor="accent1" w:themeShade="BF"/>
          <w:sz w:val="24"/>
          <w:szCs w:val="24"/>
          <w:lang w:val="it-IT"/>
        </w:rPr>
      </w:pPr>
      <w:r w:rsidRPr="00C20183">
        <w:rPr>
          <w:rFonts w:ascii="Tahoma" w:hAnsi="Tahoma" w:cs="Tahoma"/>
          <w:b/>
          <w:bCs/>
          <w:color w:val="2F5496" w:themeColor="accent1" w:themeShade="BF"/>
          <w:sz w:val="24"/>
          <w:szCs w:val="24"/>
          <w:lang w:val="it-IT"/>
        </w:rPr>
        <w:t xml:space="preserve">INIZIATIVE DI FINANZIAMENTO E </w:t>
      </w:r>
      <w:r w:rsidR="00212304">
        <w:rPr>
          <w:rFonts w:ascii="Tahoma" w:hAnsi="Tahoma" w:cs="Tahoma"/>
          <w:b/>
          <w:bCs/>
          <w:color w:val="2F5496" w:themeColor="accent1" w:themeShade="BF"/>
          <w:sz w:val="24"/>
          <w:szCs w:val="24"/>
          <w:lang w:val="it-IT"/>
        </w:rPr>
        <w:t>SOSTEGNO</w:t>
      </w:r>
      <w:r w:rsidRPr="00C20183">
        <w:rPr>
          <w:rFonts w:ascii="Tahoma" w:hAnsi="Tahoma" w:cs="Tahoma"/>
          <w:b/>
          <w:bCs/>
          <w:color w:val="2F5496" w:themeColor="accent1" w:themeShade="BF"/>
          <w:sz w:val="24"/>
          <w:szCs w:val="24"/>
          <w:lang w:val="it-IT"/>
        </w:rPr>
        <w:t xml:space="preserve"> ALL’INNOVAZIONE</w:t>
      </w:r>
      <w:r w:rsidR="00212304">
        <w:rPr>
          <w:rFonts w:ascii="Tahoma" w:hAnsi="Tahoma" w:cs="Tahoma"/>
          <w:b/>
          <w:bCs/>
          <w:color w:val="2F5496" w:themeColor="accent1" w:themeShade="BF"/>
          <w:sz w:val="24"/>
          <w:szCs w:val="24"/>
          <w:lang w:val="it-IT"/>
        </w:rPr>
        <w:t xml:space="preserve"> ED ALLA RICERCA</w:t>
      </w:r>
    </w:p>
    <w:p w14:paraId="0CC408A5" w14:textId="44652108" w:rsidR="00D15EC6" w:rsidRPr="004E6B03" w:rsidRDefault="00D15EC6" w:rsidP="00817E8E">
      <w:pPr>
        <w:pStyle w:val="NormalWeb"/>
        <w:spacing w:line="360" w:lineRule="auto"/>
        <w:contextualSpacing/>
        <w:jc w:val="both"/>
        <w:rPr>
          <w:rFonts w:ascii="Tahoma" w:hAnsi="Tahoma" w:cs="Tahoma"/>
          <w:lang w:val="it-IT"/>
        </w:rPr>
      </w:pPr>
      <w:r w:rsidRPr="00CA208C">
        <w:rPr>
          <w:rFonts w:ascii="Tahoma" w:hAnsi="Tahoma" w:cs="Tahoma"/>
          <w:lang w:val="it-IT"/>
        </w:rPr>
        <w:t xml:space="preserve">Il principale strumento nazionale di investimento è lo </w:t>
      </w:r>
      <w:r w:rsidRPr="00CA208C">
        <w:rPr>
          <w:rStyle w:val="Strong"/>
          <w:rFonts w:ascii="Tahoma" w:hAnsi="Tahoma" w:cs="Tahoma"/>
          <w:b w:val="0"/>
          <w:bCs w:val="0"/>
          <w:lang w:val="it-IT"/>
        </w:rPr>
        <w:t>Strategic Science Investment Fund (SSIF)</w:t>
      </w:r>
      <w:r w:rsidR="004A4577">
        <w:rPr>
          <w:rFonts w:ascii="Tahoma" w:hAnsi="Tahoma" w:cs="Tahoma"/>
          <w:lang w:val="it-IT"/>
        </w:rPr>
        <w:t>,</w:t>
      </w:r>
      <w:r w:rsidRPr="00CA208C">
        <w:rPr>
          <w:rFonts w:ascii="Tahoma" w:hAnsi="Tahoma" w:cs="Tahoma"/>
          <w:b/>
          <w:bCs/>
          <w:lang w:val="it-IT"/>
        </w:rPr>
        <w:t xml:space="preserve"> </w:t>
      </w:r>
      <w:r w:rsidRPr="004E6B03">
        <w:rPr>
          <w:rFonts w:ascii="Tahoma" w:hAnsi="Tahoma" w:cs="Tahoma"/>
          <w:lang w:val="it-IT"/>
        </w:rPr>
        <w:t xml:space="preserve">che sostiene piattaforme di ricerca di lungo periodo in campi ritenuti </w:t>
      </w:r>
      <w:r w:rsidR="004A4577">
        <w:rPr>
          <w:rFonts w:ascii="Tahoma" w:hAnsi="Tahoma" w:cs="Tahoma"/>
          <w:lang w:val="it-IT"/>
        </w:rPr>
        <w:t>strategici</w:t>
      </w:r>
      <w:r w:rsidR="00C73DFF">
        <w:rPr>
          <w:rFonts w:ascii="Tahoma" w:hAnsi="Tahoma" w:cs="Tahoma"/>
          <w:lang w:val="it-IT"/>
        </w:rPr>
        <w:t xml:space="preserve"> </w:t>
      </w:r>
      <w:r w:rsidRPr="004E6B03">
        <w:rPr>
          <w:rFonts w:ascii="Tahoma" w:hAnsi="Tahoma" w:cs="Tahoma"/>
          <w:lang w:val="it-IT"/>
        </w:rPr>
        <w:t>per il Paese.</w:t>
      </w:r>
      <w:r w:rsidRPr="004E6B03">
        <w:rPr>
          <w:rFonts w:ascii="Tahoma" w:hAnsi="Tahoma" w:cs="Tahoma"/>
          <w:lang w:val="it-IT"/>
        </w:rPr>
        <w:br/>
        <w:t>Le piattaforme finanziate (</w:t>
      </w:r>
      <w:r w:rsidR="00212304">
        <w:rPr>
          <w:rFonts w:ascii="Tahoma" w:hAnsi="Tahoma" w:cs="Tahoma"/>
          <w:lang w:val="it-IT"/>
        </w:rPr>
        <w:t>tecnologie dell</w:t>
      </w:r>
      <w:r w:rsidR="00375793">
        <w:rPr>
          <w:rFonts w:ascii="Tahoma" w:hAnsi="Tahoma" w:cs="Tahoma"/>
          <w:lang w:val="it-IT"/>
        </w:rPr>
        <w:t>’</w:t>
      </w:r>
      <w:r w:rsidR="00212304">
        <w:rPr>
          <w:rFonts w:ascii="Tahoma" w:hAnsi="Tahoma" w:cs="Tahoma"/>
          <w:lang w:val="it-IT"/>
        </w:rPr>
        <w:t>energia, scienza dei dati</w:t>
      </w:r>
      <w:r w:rsidRPr="004E6B03">
        <w:rPr>
          <w:rFonts w:ascii="Tahoma" w:hAnsi="Tahoma" w:cs="Tahoma"/>
          <w:lang w:val="it-IT"/>
        </w:rPr>
        <w:t xml:space="preserve">, spazio, </w:t>
      </w:r>
      <w:r w:rsidR="00212304">
        <w:rPr>
          <w:rFonts w:ascii="Tahoma" w:hAnsi="Tahoma" w:cs="Tahoma"/>
          <w:lang w:val="it-IT"/>
        </w:rPr>
        <w:t>sviluppo RNA</w:t>
      </w:r>
      <w:r w:rsidRPr="004E6B03">
        <w:rPr>
          <w:rFonts w:ascii="Tahoma" w:hAnsi="Tahoma" w:cs="Tahoma"/>
          <w:lang w:val="it-IT"/>
        </w:rPr>
        <w:t xml:space="preserve">, </w:t>
      </w:r>
      <w:r w:rsidR="00212304">
        <w:rPr>
          <w:rFonts w:ascii="Tahoma" w:hAnsi="Tahoma" w:cs="Tahoma"/>
          <w:lang w:val="it-IT"/>
        </w:rPr>
        <w:t>rischi naturali</w:t>
      </w:r>
      <w:r w:rsidRPr="004E6B03">
        <w:rPr>
          <w:rFonts w:ascii="Tahoma" w:hAnsi="Tahoma" w:cs="Tahoma"/>
          <w:lang w:val="it-IT"/>
        </w:rPr>
        <w:t xml:space="preserve">, </w:t>
      </w:r>
      <w:r w:rsidR="00212304">
        <w:rPr>
          <w:rFonts w:ascii="Tahoma" w:hAnsi="Tahoma" w:cs="Tahoma"/>
          <w:lang w:val="it-IT"/>
        </w:rPr>
        <w:t>malattie infettive</w:t>
      </w:r>
      <w:r w:rsidRPr="004E6B03">
        <w:rPr>
          <w:rFonts w:ascii="Tahoma" w:hAnsi="Tahoma" w:cs="Tahoma"/>
          <w:lang w:val="it-IT"/>
        </w:rPr>
        <w:t xml:space="preserve">) sono concepite </w:t>
      </w:r>
      <w:r w:rsidR="00097F86" w:rsidRPr="004E6B03">
        <w:rPr>
          <w:rFonts w:ascii="Tahoma" w:hAnsi="Tahoma" w:cs="Tahoma"/>
          <w:lang w:val="it-IT"/>
        </w:rPr>
        <w:t xml:space="preserve">come </w:t>
      </w:r>
      <w:r w:rsidRPr="004E6B03">
        <w:rPr>
          <w:rStyle w:val="Strong"/>
          <w:rFonts w:ascii="Tahoma" w:hAnsi="Tahoma" w:cs="Tahoma"/>
          <w:b w:val="0"/>
          <w:bCs w:val="0"/>
          <w:lang w:val="it-IT"/>
        </w:rPr>
        <w:t xml:space="preserve">infrastrutture </w:t>
      </w:r>
      <w:r w:rsidR="00097F86" w:rsidRPr="004E6B03">
        <w:rPr>
          <w:rStyle w:val="Strong"/>
          <w:rFonts w:ascii="Tahoma" w:hAnsi="Tahoma" w:cs="Tahoma"/>
          <w:b w:val="0"/>
          <w:bCs w:val="0"/>
          <w:lang w:val="it-IT"/>
        </w:rPr>
        <w:t>efficienti</w:t>
      </w:r>
      <w:r w:rsidR="004A4577">
        <w:rPr>
          <w:rStyle w:val="Strong"/>
          <w:rFonts w:ascii="Tahoma" w:hAnsi="Tahoma" w:cs="Tahoma"/>
          <w:b w:val="0"/>
          <w:bCs w:val="0"/>
          <w:lang w:val="it-IT"/>
        </w:rPr>
        <w:t xml:space="preserve"> </w:t>
      </w:r>
      <w:r w:rsidR="00097F86" w:rsidRPr="004E6B03">
        <w:rPr>
          <w:rStyle w:val="Strong"/>
          <w:rFonts w:ascii="Tahoma" w:hAnsi="Tahoma" w:cs="Tahoma"/>
          <w:b w:val="0"/>
          <w:bCs w:val="0"/>
          <w:lang w:val="it-IT"/>
        </w:rPr>
        <w:t>collegate tra loro.</w:t>
      </w:r>
    </w:p>
    <w:p w14:paraId="66D0C68B" w14:textId="28859F7E"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Accanto alle risorse destinate alle università e ai centri pubblici, una quota crescente degli investimenti è rivolta al settore privato</w:t>
      </w:r>
      <w:r w:rsidR="004A4577">
        <w:rPr>
          <w:rFonts w:ascii="Tahoma" w:hAnsi="Tahoma" w:cs="Tahoma"/>
          <w:lang w:val="it-IT"/>
        </w:rPr>
        <w:t xml:space="preserve"> </w:t>
      </w:r>
      <w:r w:rsidRPr="004E6B03">
        <w:rPr>
          <w:rFonts w:ascii="Tahoma" w:hAnsi="Tahoma" w:cs="Tahoma"/>
          <w:lang w:val="it-IT"/>
        </w:rPr>
        <w:t>attraverso:</w:t>
      </w:r>
      <w:r w:rsidR="004D01DB">
        <w:rPr>
          <w:rFonts w:ascii="Tahoma" w:hAnsi="Tahoma" w:cs="Tahoma"/>
          <w:lang w:val="it-IT"/>
        </w:rPr>
        <w:t xml:space="preserve"> </w:t>
      </w:r>
      <w:r w:rsidRPr="004D01DB">
        <w:rPr>
          <w:rFonts w:ascii="Tahoma" w:hAnsi="Tahoma" w:cs="Tahoma"/>
          <w:lang w:val="it-IT"/>
        </w:rPr>
        <w:t>fondi per start-up deep-tech;</w:t>
      </w:r>
      <w:r w:rsidR="004D01DB">
        <w:rPr>
          <w:rFonts w:ascii="Tahoma" w:hAnsi="Tahoma" w:cs="Tahoma"/>
          <w:lang w:val="it-IT"/>
        </w:rPr>
        <w:t xml:space="preserve"> </w:t>
      </w:r>
      <w:r w:rsidRPr="004E6B03">
        <w:rPr>
          <w:rFonts w:ascii="Tahoma" w:hAnsi="Tahoma" w:cs="Tahoma"/>
          <w:lang w:val="it-IT"/>
        </w:rPr>
        <w:t>incentivi per la commercializzazione della ricerca;</w:t>
      </w:r>
      <w:r w:rsidR="004D01DB">
        <w:rPr>
          <w:rFonts w:ascii="Tahoma" w:hAnsi="Tahoma" w:cs="Tahoma"/>
          <w:lang w:val="it-IT"/>
        </w:rPr>
        <w:t xml:space="preserve"> </w:t>
      </w:r>
      <w:r w:rsidRPr="004E6B03">
        <w:rPr>
          <w:rFonts w:ascii="Tahoma" w:hAnsi="Tahoma" w:cs="Tahoma"/>
          <w:lang w:val="it-IT"/>
        </w:rPr>
        <w:t>programmi di collaborazione industria-accademia</w:t>
      </w:r>
      <w:r w:rsidR="004A4577">
        <w:rPr>
          <w:rFonts w:ascii="Tahoma" w:hAnsi="Tahoma" w:cs="Tahoma"/>
          <w:lang w:val="it-IT"/>
        </w:rPr>
        <w:t xml:space="preserve"> e</w:t>
      </w:r>
      <w:r w:rsidR="004D01DB">
        <w:rPr>
          <w:rFonts w:ascii="Tahoma" w:hAnsi="Tahoma" w:cs="Tahoma"/>
          <w:lang w:val="it-IT"/>
        </w:rPr>
        <w:t xml:space="preserve"> </w:t>
      </w:r>
      <w:r w:rsidRPr="004E6B03">
        <w:rPr>
          <w:rFonts w:ascii="Tahoma" w:hAnsi="Tahoma" w:cs="Tahoma"/>
          <w:lang w:val="it-IT"/>
        </w:rPr>
        <w:t>crediti fiscali per investimenti in R&amp;D.</w:t>
      </w:r>
    </w:p>
    <w:p w14:paraId="0E938647" w14:textId="760C6C07" w:rsidR="00D15EC6"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Il Paese sta anche sviluppando un quadro normativo più flessibile per la </w:t>
      </w:r>
      <w:r w:rsidRPr="004E6B03">
        <w:rPr>
          <w:rStyle w:val="Strong"/>
          <w:rFonts w:ascii="Tahoma" w:hAnsi="Tahoma" w:cs="Tahoma"/>
          <w:b w:val="0"/>
          <w:bCs w:val="0"/>
          <w:lang w:val="it-IT"/>
        </w:rPr>
        <w:t>tecnologia genetica</w:t>
      </w:r>
      <w:r w:rsidRPr="004E6B03">
        <w:rPr>
          <w:rFonts w:ascii="Tahoma" w:hAnsi="Tahoma" w:cs="Tahoma"/>
          <w:lang w:val="it-IT"/>
        </w:rPr>
        <w:t>, con l’obiettivo di favorire innovazioni sicure ma rapide nell’ambito dell’agritech, della salute e della bioingegneria.</w:t>
      </w:r>
    </w:p>
    <w:p w14:paraId="55994D64" w14:textId="4163C0F6" w:rsidR="00375793" w:rsidRDefault="00375793" w:rsidP="00817E8E">
      <w:pPr>
        <w:pStyle w:val="NormalWeb"/>
        <w:spacing w:line="360" w:lineRule="auto"/>
        <w:contextualSpacing/>
        <w:jc w:val="both"/>
        <w:rPr>
          <w:rFonts w:ascii="Tahoma" w:hAnsi="Tahoma" w:cs="Tahoma"/>
          <w:lang w:val="it-IT"/>
        </w:rPr>
      </w:pPr>
      <w:r>
        <w:rPr>
          <w:rFonts w:ascii="Tahoma" w:hAnsi="Tahoma" w:cs="Tahoma"/>
          <w:lang w:val="it-IT"/>
        </w:rPr>
        <w:t xml:space="preserve">Un altro importante programma di finanziamenti per sostenere la </w:t>
      </w:r>
      <w:r w:rsidR="000707C5">
        <w:rPr>
          <w:rFonts w:ascii="Tahoma" w:hAnsi="Tahoma" w:cs="Tahoma"/>
          <w:lang w:val="it-IT"/>
        </w:rPr>
        <w:t>cooperazione fra Unione Europea, i suoi Stati Membri e la Nuova Zelanda nel settore della ricerca</w:t>
      </w:r>
      <w:r>
        <w:rPr>
          <w:rFonts w:ascii="Tahoma" w:hAnsi="Tahoma" w:cs="Tahoma"/>
          <w:lang w:val="it-IT"/>
        </w:rPr>
        <w:t xml:space="preserve"> e </w:t>
      </w:r>
      <w:r w:rsidR="000707C5">
        <w:rPr>
          <w:rFonts w:ascii="Tahoma" w:hAnsi="Tahoma" w:cs="Tahoma"/>
          <w:lang w:val="it-IT"/>
        </w:rPr>
        <w:t>del</w:t>
      </w:r>
      <w:r>
        <w:rPr>
          <w:rFonts w:ascii="Tahoma" w:hAnsi="Tahoma" w:cs="Tahoma"/>
          <w:lang w:val="it-IT"/>
        </w:rPr>
        <w:t>l’innovazione</w:t>
      </w:r>
      <w:r w:rsidR="00B70508">
        <w:rPr>
          <w:rFonts w:ascii="Tahoma" w:hAnsi="Tahoma" w:cs="Tahoma"/>
          <w:lang w:val="it-IT"/>
        </w:rPr>
        <w:t>,</w:t>
      </w:r>
      <w:r>
        <w:rPr>
          <w:rFonts w:ascii="Tahoma" w:hAnsi="Tahoma" w:cs="Tahoma"/>
          <w:lang w:val="it-IT"/>
        </w:rPr>
        <w:t xml:space="preserve"> è Horizon Europe. Tale programma è nato </w:t>
      </w:r>
      <w:r w:rsidRPr="00375793">
        <w:rPr>
          <w:rFonts w:ascii="Tahoma" w:hAnsi="Tahoma" w:cs="Tahoma"/>
          <w:lang w:val="it-IT"/>
        </w:rPr>
        <w:t>per alimentare l'eccellenza scientifica e tecnologica dell'UE e rafforzare lo Spazio europeo della ricerca (SER); affrontare le priorità politiche, tra cui le transizioni verde e digitale e gli obiettivi di sviluppo sostenibile; incentivare la diffusione dell'innovazione, la competitività e la creazione di posti di lavoro</w:t>
      </w:r>
      <w:r>
        <w:rPr>
          <w:rFonts w:ascii="Tahoma" w:hAnsi="Tahoma" w:cs="Tahoma"/>
          <w:lang w:val="it-IT"/>
        </w:rPr>
        <w:t>.</w:t>
      </w:r>
      <w:r w:rsidR="000707C5">
        <w:rPr>
          <w:rFonts w:ascii="Tahoma" w:hAnsi="Tahoma" w:cs="Tahoma"/>
          <w:lang w:val="it-IT"/>
        </w:rPr>
        <w:t xml:space="preserve"> La Nuova Zelanda è il paese extraeuropeo che, al momento, ha tratto maggiore vantaggio dal programma, con 20 progetti di collaborazione approvati dall’UE. Di questi 20, 14 vedono la partecipazione di università o altre istituzioni di ricerca italiane. </w:t>
      </w:r>
    </w:p>
    <w:p w14:paraId="16D9A88A" w14:textId="3F1DAE07" w:rsidR="00375793" w:rsidRDefault="00375793" w:rsidP="00817E8E">
      <w:pPr>
        <w:pStyle w:val="NormalWeb"/>
        <w:spacing w:line="360" w:lineRule="auto"/>
        <w:contextualSpacing/>
        <w:jc w:val="both"/>
        <w:rPr>
          <w:rFonts w:ascii="Tahoma" w:hAnsi="Tahoma" w:cs="Tahoma"/>
          <w:lang w:val="it-IT"/>
        </w:rPr>
      </w:pPr>
      <w:r w:rsidRPr="00537CEE">
        <w:rPr>
          <w:noProof/>
          <w:lang w:val="it-IT"/>
        </w:rPr>
        <w:lastRenderedPageBreak/>
        <w:drawing>
          <wp:inline distT="0" distB="0" distL="0" distR="0" wp14:anchorId="0EA51B89" wp14:editId="01A1D26B">
            <wp:extent cx="5731510" cy="308825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907"/>
                    <a:stretch/>
                  </pic:blipFill>
                  <pic:spPr bwMode="auto">
                    <a:xfrm>
                      <a:off x="0" y="0"/>
                      <a:ext cx="5731510" cy="3088257"/>
                    </a:xfrm>
                    <a:prstGeom prst="rect">
                      <a:avLst/>
                    </a:prstGeom>
                    <a:ln>
                      <a:noFill/>
                    </a:ln>
                    <a:extLst>
                      <a:ext uri="{53640926-AAD7-44D8-BBD7-CCE9431645EC}">
                        <a14:shadowObscured xmlns:a14="http://schemas.microsoft.com/office/drawing/2010/main"/>
                      </a:ext>
                    </a:extLst>
                  </pic:spPr>
                </pic:pic>
              </a:graphicData>
            </a:graphic>
          </wp:inline>
        </w:drawing>
      </w:r>
    </w:p>
    <w:p w14:paraId="1E8FB957" w14:textId="619C832D" w:rsidR="00CA4186" w:rsidRDefault="00375793" w:rsidP="000707C5">
      <w:pPr>
        <w:pStyle w:val="NormalWeb"/>
        <w:spacing w:line="360" w:lineRule="auto"/>
        <w:contextualSpacing/>
        <w:jc w:val="both"/>
      </w:pPr>
      <w:r w:rsidRPr="00375793">
        <w:rPr>
          <w:rFonts w:ascii="Tahoma" w:hAnsi="Tahoma" w:cs="Tahoma"/>
          <w:sz w:val="20"/>
          <w:szCs w:val="20"/>
        </w:rPr>
        <w:t xml:space="preserve">Fonte: </w:t>
      </w:r>
      <w:hyperlink r:id="rId35" w:history="1">
        <w:r w:rsidR="000707C5" w:rsidRPr="000707C5">
          <w:rPr>
            <w:rStyle w:val="Hyperlink"/>
            <w:lang w:val="en-US"/>
          </w:rPr>
          <w:t>Horizon Europe - Research and innovation - European Commission</w:t>
        </w:r>
      </w:hyperlink>
    </w:p>
    <w:p w14:paraId="4C613B1A" w14:textId="77777777" w:rsidR="000707C5" w:rsidRDefault="000707C5" w:rsidP="000707C5">
      <w:pPr>
        <w:pStyle w:val="NormalWeb"/>
        <w:spacing w:line="360" w:lineRule="auto"/>
        <w:contextualSpacing/>
        <w:jc w:val="both"/>
        <w:rPr>
          <w:rFonts w:ascii="Tahoma" w:hAnsi="Tahoma" w:cs="Tahoma"/>
          <w:color w:val="19191A"/>
          <w:shd w:val="clear" w:color="auto" w:fill="FFFFFF"/>
        </w:rPr>
      </w:pPr>
    </w:p>
    <w:p w14:paraId="1B3E77B7" w14:textId="472F1C4E" w:rsidR="00375793" w:rsidRPr="00375793" w:rsidRDefault="00375793" w:rsidP="00817E8E">
      <w:pPr>
        <w:pStyle w:val="NormalWeb"/>
        <w:shd w:val="clear" w:color="auto" w:fill="FFFFFF"/>
        <w:spacing w:before="0" w:beforeAutospacing="0" w:line="360" w:lineRule="auto"/>
        <w:contextualSpacing/>
        <w:jc w:val="both"/>
        <w:rPr>
          <w:rFonts w:ascii="Tahoma" w:hAnsi="Tahoma" w:cs="Tahoma"/>
          <w:color w:val="19191A"/>
          <w:shd w:val="clear" w:color="auto" w:fill="FFFFFF"/>
          <w:lang w:val="it-IT"/>
        </w:rPr>
      </w:pPr>
      <w:r w:rsidRPr="00375793">
        <w:rPr>
          <w:rFonts w:ascii="Tahoma" w:hAnsi="Tahoma" w:cs="Tahoma"/>
          <w:color w:val="19191A"/>
          <w:shd w:val="clear" w:color="auto" w:fill="FFFFFF"/>
          <w:lang w:val="it-IT"/>
        </w:rPr>
        <w:t>La Nuova Zelanda è u</w:t>
      </w:r>
      <w:r>
        <w:rPr>
          <w:rFonts w:ascii="Tahoma" w:hAnsi="Tahoma" w:cs="Tahoma"/>
          <w:color w:val="19191A"/>
          <w:shd w:val="clear" w:color="auto" w:fill="FFFFFF"/>
          <w:lang w:val="it-IT"/>
        </w:rPr>
        <w:t xml:space="preserve">n paese associato </w:t>
      </w:r>
      <w:r w:rsidR="000707C5">
        <w:rPr>
          <w:rFonts w:ascii="Tahoma" w:hAnsi="Tahoma" w:cs="Tahoma"/>
          <w:color w:val="19191A"/>
          <w:shd w:val="clear" w:color="auto" w:fill="FFFFFF"/>
          <w:lang w:val="it-IT"/>
        </w:rPr>
        <w:t>a</w:t>
      </w:r>
      <w:r>
        <w:rPr>
          <w:rFonts w:ascii="Tahoma" w:hAnsi="Tahoma" w:cs="Tahoma"/>
          <w:color w:val="19191A"/>
          <w:shd w:val="clear" w:color="auto" w:fill="FFFFFF"/>
          <w:lang w:val="it-IT"/>
        </w:rPr>
        <w:t>l Secondo Pilastro</w:t>
      </w:r>
      <w:r w:rsidR="000707C5">
        <w:rPr>
          <w:rFonts w:ascii="Tahoma" w:hAnsi="Tahoma" w:cs="Tahoma"/>
          <w:color w:val="19191A"/>
          <w:shd w:val="clear" w:color="auto" w:fill="FFFFFF"/>
          <w:lang w:val="it-IT"/>
        </w:rPr>
        <w:t xml:space="preserve">: </w:t>
      </w:r>
      <w:r>
        <w:rPr>
          <w:rFonts w:ascii="Tahoma" w:hAnsi="Tahoma" w:cs="Tahoma"/>
          <w:color w:val="19191A"/>
          <w:shd w:val="clear" w:color="auto" w:fill="FFFFFF"/>
          <w:lang w:val="it-IT"/>
        </w:rPr>
        <w:t xml:space="preserve">ricercatori ed organizzazioni neozelandesi possono far parte o guidare progetti Horizon Europe </w:t>
      </w:r>
      <w:r w:rsidR="000707C5">
        <w:rPr>
          <w:rFonts w:ascii="Tahoma" w:hAnsi="Tahoma" w:cs="Tahoma"/>
          <w:color w:val="19191A"/>
          <w:shd w:val="clear" w:color="auto" w:fill="FFFFFF"/>
          <w:lang w:val="it-IT"/>
        </w:rPr>
        <w:t xml:space="preserve">e </w:t>
      </w:r>
      <w:r>
        <w:rPr>
          <w:rFonts w:ascii="Tahoma" w:hAnsi="Tahoma" w:cs="Tahoma"/>
          <w:color w:val="19191A"/>
          <w:shd w:val="clear" w:color="auto" w:fill="FFFFFF"/>
          <w:lang w:val="it-IT"/>
        </w:rPr>
        <w:t>riceve</w:t>
      </w:r>
      <w:r w:rsidR="000707C5">
        <w:rPr>
          <w:rFonts w:ascii="Tahoma" w:hAnsi="Tahoma" w:cs="Tahoma"/>
          <w:color w:val="19191A"/>
          <w:shd w:val="clear" w:color="auto" w:fill="FFFFFF"/>
          <w:lang w:val="it-IT"/>
        </w:rPr>
        <w:t>re</w:t>
      </w:r>
      <w:r>
        <w:rPr>
          <w:rFonts w:ascii="Tahoma" w:hAnsi="Tahoma" w:cs="Tahoma"/>
          <w:color w:val="19191A"/>
          <w:shd w:val="clear" w:color="auto" w:fill="FFFFFF"/>
          <w:lang w:val="it-IT"/>
        </w:rPr>
        <w:t xml:space="preserve"> fondi al pari delle controparti europee. È possibile ottenere maggiori dettagli ed informazioni in merito alle richieste di finanziamento attraverso il portale </w:t>
      </w:r>
      <w:r w:rsidRPr="004B2C8B">
        <w:rPr>
          <w:rFonts w:ascii="Tahoma" w:hAnsi="Tahoma" w:cs="Tahoma"/>
          <w:color w:val="19191A"/>
          <w:shd w:val="clear" w:color="auto" w:fill="FFFFFF"/>
          <w:lang w:val="it-IT"/>
        </w:rPr>
        <w:t>dei finanziamenti ed appalti della Commissione Europe</w:t>
      </w:r>
      <w:r w:rsidRPr="00375793">
        <w:rPr>
          <w:rFonts w:ascii="Tahoma" w:hAnsi="Tahoma" w:cs="Tahoma"/>
          <w:color w:val="19191A"/>
          <w:shd w:val="clear" w:color="auto" w:fill="FFFFFF"/>
          <w:lang w:val="it-IT"/>
        </w:rPr>
        <w:t>a</w:t>
      </w:r>
      <w:r w:rsidR="000707C5">
        <w:rPr>
          <w:rFonts w:ascii="Tahoma" w:hAnsi="Tahoma" w:cs="Tahoma"/>
          <w:color w:val="19191A"/>
          <w:shd w:val="clear" w:color="auto" w:fill="FFFFFF"/>
          <w:lang w:val="it-IT"/>
        </w:rPr>
        <w:t xml:space="preserve"> (</w:t>
      </w:r>
      <w:hyperlink r:id="rId36" w:history="1">
        <w:r w:rsidR="000707C5" w:rsidRPr="000707C5">
          <w:rPr>
            <w:rStyle w:val="Hyperlink"/>
            <w:rFonts w:ascii="Tahoma" w:hAnsi="Tahoma" w:cs="Tahoma"/>
            <w:shd w:val="clear" w:color="auto" w:fill="FFFFFF"/>
            <w:lang w:val="it-IT"/>
          </w:rPr>
          <w:t>Horizon Europe - Research and innovation - European Commission</w:t>
        </w:r>
      </w:hyperlink>
      <w:r w:rsidR="000707C5">
        <w:rPr>
          <w:rFonts w:ascii="Tahoma" w:hAnsi="Tahoma" w:cs="Tahoma"/>
          <w:color w:val="19191A"/>
          <w:shd w:val="clear" w:color="auto" w:fill="FFFFFF"/>
          <w:lang w:val="it-IT"/>
        </w:rPr>
        <w:t>)</w:t>
      </w:r>
    </w:p>
    <w:p w14:paraId="2F5B4300" w14:textId="51B7C4DC" w:rsidR="00D44C71" w:rsidRDefault="00D44C71" w:rsidP="00817E8E">
      <w:pPr>
        <w:pStyle w:val="NoSpacing"/>
        <w:rPr>
          <w:lang w:val="it-IT"/>
        </w:rPr>
      </w:pPr>
    </w:p>
    <w:p w14:paraId="12080264" w14:textId="77777777" w:rsidR="00817E8E" w:rsidRPr="00375793" w:rsidRDefault="00817E8E" w:rsidP="00817E8E">
      <w:pPr>
        <w:pStyle w:val="NoSpacing"/>
        <w:rPr>
          <w:lang w:val="it-IT"/>
        </w:rPr>
      </w:pPr>
    </w:p>
    <w:p w14:paraId="4C92FFE0" w14:textId="7F339598" w:rsidR="00D15EC6" w:rsidRPr="00C20183" w:rsidRDefault="004D01DB" w:rsidP="00817E8E">
      <w:pPr>
        <w:pStyle w:val="NoSpacing"/>
        <w:numPr>
          <w:ilvl w:val="1"/>
          <w:numId w:val="26"/>
        </w:numPr>
        <w:rPr>
          <w:rFonts w:ascii="Tahoma" w:hAnsi="Tahoma" w:cs="Tahoma"/>
          <w:b/>
          <w:bCs/>
          <w:color w:val="2F5496" w:themeColor="accent1" w:themeShade="BF"/>
          <w:sz w:val="24"/>
          <w:szCs w:val="24"/>
          <w:lang w:val="it-IT"/>
        </w:rPr>
      </w:pPr>
      <w:r w:rsidRPr="00C20183">
        <w:rPr>
          <w:rFonts w:ascii="Tahoma" w:hAnsi="Tahoma" w:cs="Tahoma"/>
          <w:b/>
          <w:bCs/>
          <w:color w:val="2F5496" w:themeColor="accent1" w:themeShade="BF"/>
          <w:sz w:val="24"/>
          <w:szCs w:val="24"/>
          <w:lang w:val="it-IT"/>
        </w:rPr>
        <w:t>INTEGRAZIONE DELLA CONOSCENZA MĀORI E MODELLI INCLUSIVI</w:t>
      </w:r>
    </w:p>
    <w:p w14:paraId="3E6F030D" w14:textId="77777777"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 xml:space="preserve">Un elemento caratteristico dell’approccio neozelandese è l’integrazione della </w:t>
      </w:r>
      <w:r w:rsidRPr="004E6B03">
        <w:rPr>
          <w:rStyle w:val="Strong"/>
          <w:rFonts w:ascii="Tahoma" w:hAnsi="Tahoma" w:cs="Tahoma"/>
          <w:b w:val="0"/>
          <w:bCs w:val="0"/>
          <w:lang w:val="it-IT"/>
        </w:rPr>
        <w:t>conoscenza Māori</w:t>
      </w:r>
      <w:r w:rsidRPr="004E6B03">
        <w:rPr>
          <w:rFonts w:ascii="Tahoma" w:hAnsi="Tahoma" w:cs="Tahoma"/>
          <w:lang w:val="it-IT"/>
        </w:rPr>
        <w:t xml:space="preserve"> all’interno del sistema scientifico. Il fondo </w:t>
      </w:r>
      <w:r w:rsidRPr="004E6B03">
        <w:rPr>
          <w:rStyle w:val="Strong"/>
          <w:rFonts w:ascii="Tahoma" w:hAnsi="Tahoma" w:cs="Tahoma"/>
          <w:b w:val="0"/>
          <w:bCs w:val="0"/>
          <w:lang w:val="it-IT"/>
        </w:rPr>
        <w:t>He Ara Whakahihiko</w:t>
      </w:r>
      <w:r w:rsidRPr="004E6B03">
        <w:rPr>
          <w:rFonts w:ascii="Tahoma" w:hAnsi="Tahoma" w:cs="Tahoma"/>
          <w:lang w:val="it-IT"/>
        </w:rPr>
        <w:t xml:space="preserve"> sostiene progetti di ricerca guidati da organizzazioni indigene e iniziative che valorizzano approcci olistici e la relazione con ambiente e territorio.</w:t>
      </w:r>
    </w:p>
    <w:p w14:paraId="7679B09E" w14:textId="401C3F16"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Per le imprese internazionali, questo significa operare in un contesto che richiede</w:t>
      </w:r>
      <w:r w:rsidR="00CA208C">
        <w:rPr>
          <w:rFonts w:ascii="Tahoma" w:hAnsi="Tahoma" w:cs="Tahoma"/>
          <w:lang w:val="it-IT"/>
        </w:rPr>
        <w:t xml:space="preserve"> </w:t>
      </w:r>
      <w:r w:rsidRPr="00CA208C">
        <w:rPr>
          <w:rFonts w:ascii="Tahoma" w:hAnsi="Tahoma" w:cs="Tahoma"/>
          <w:lang w:val="it-IT"/>
        </w:rPr>
        <w:t>sensibilità culturale</w:t>
      </w:r>
      <w:r w:rsidR="00CA208C">
        <w:rPr>
          <w:rFonts w:ascii="Tahoma" w:hAnsi="Tahoma" w:cs="Tahoma"/>
          <w:lang w:val="it-IT"/>
        </w:rPr>
        <w:t xml:space="preserve">, </w:t>
      </w:r>
      <w:r w:rsidRPr="00CA208C">
        <w:rPr>
          <w:rFonts w:ascii="Tahoma" w:hAnsi="Tahoma" w:cs="Tahoma"/>
          <w:lang w:val="it-IT"/>
        </w:rPr>
        <w:t>partenariati autentici</w:t>
      </w:r>
      <w:r w:rsidR="00CA208C">
        <w:rPr>
          <w:rFonts w:ascii="Tahoma" w:hAnsi="Tahoma" w:cs="Tahoma"/>
          <w:lang w:val="it-IT"/>
        </w:rPr>
        <w:t xml:space="preserve">, </w:t>
      </w:r>
      <w:r w:rsidRPr="004E6B03">
        <w:rPr>
          <w:rFonts w:ascii="Tahoma" w:hAnsi="Tahoma" w:cs="Tahoma"/>
          <w:lang w:val="it-IT"/>
        </w:rPr>
        <w:t>rispetto dei valori e delle visioni Māori.</w:t>
      </w:r>
    </w:p>
    <w:p w14:paraId="3FCC5883" w14:textId="14608EEB" w:rsidR="00A05890" w:rsidRDefault="00370E1F" w:rsidP="00817E8E">
      <w:pPr>
        <w:pStyle w:val="NormalWeb"/>
        <w:spacing w:line="360" w:lineRule="auto"/>
        <w:contextualSpacing/>
        <w:jc w:val="both"/>
        <w:rPr>
          <w:rFonts w:ascii="Tahoma" w:hAnsi="Tahoma" w:cs="Tahoma"/>
          <w:lang w:val="it-IT"/>
        </w:rPr>
      </w:pPr>
      <w:r>
        <w:rPr>
          <w:rFonts w:ascii="Tahoma" w:hAnsi="Tahoma" w:cs="Tahoma"/>
          <w:lang w:val="it-IT"/>
        </w:rPr>
        <w:t>Ciò r</w:t>
      </w:r>
      <w:r w:rsidR="00D15EC6" w:rsidRPr="004E6B03">
        <w:rPr>
          <w:rFonts w:ascii="Tahoma" w:hAnsi="Tahoma" w:cs="Tahoma"/>
          <w:lang w:val="it-IT"/>
        </w:rPr>
        <w:t xml:space="preserve">appresenta anche un’opportunità per sviluppare </w:t>
      </w:r>
      <w:r w:rsidR="00D15EC6" w:rsidRPr="004E6B03">
        <w:rPr>
          <w:rStyle w:val="Strong"/>
          <w:rFonts w:ascii="Tahoma" w:hAnsi="Tahoma" w:cs="Tahoma"/>
          <w:b w:val="0"/>
          <w:bCs w:val="0"/>
          <w:lang w:val="it-IT"/>
        </w:rPr>
        <w:t>progetti innovativi con forte radicamento sociale</w:t>
      </w:r>
      <w:r w:rsidR="00CA208C">
        <w:rPr>
          <w:rFonts w:ascii="Tahoma" w:hAnsi="Tahoma" w:cs="Tahoma"/>
          <w:lang w:val="it-IT"/>
        </w:rPr>
        <w:t xml:space="preserve">. </w:t>
      </w:r>
    </w:p>
    <w:p w14:paraId="57577887" w14:textId="2A4BA6DC" w:rsidR="00817E8E" w:rsidRDefault="00817E8E" w:rsidP="00817E8E">
      <w:pPr>
        <w:pStyle w:val="NormalWeb"/>
        <w:spacing w:line="360" w:lineRule="auto"/>
        <w:contextualSpacing/>
        <w:jc w:val="both"/>
        <w:rPr>
          <w:rFonts w:ascii="Tahoma" w:hAnsi="Tahoma" w:cs="Tahoma"/>
          <w:lang w:val="it-IT"/>
        </w:rPr>
      </w:pPr>
    </w:p>
    <w:p w14:paraId="334D1D11" w14:textId="77777777" w:rsidR="00817E8E" w:rsidRPr="00370E1F" w:rsidRDefault="00817E8E" w:rsidP="00817E8E">
      <w:pPr>
        <w:pStyle w:val="NormalWeb"/>
        <w:spacing w:line="360" w:lineRule="auto"/>
        <w:contextualSpacing/>
        <w:jc w:val="both"/>
        <w:rPr>
          <w:rFonts w:ascii="Tahoma" w:hAnsi="Tahoma" w:cs="Tahoma"/>
          <w:lang w:val="it-IT"/>
        </w:rPr>
      </w:pPr>
    </w:p>
    <w:p w14:paraId="05B9C35B" w14:textId="09BDED40" w:rsidR="00D15EC6" w:rsidRPr="00C20183" w:rsidRDefault="004D01DB" w:rsidP="00817E8E">
      <w:pPr>
        <w:pStyle w:val="NoSpacing"/>
        <w:numPr>
          <w:ilvl w:val="1"/>
          <w:numId w:val="26"/>
        </w:numPr>
        <w:rPr>
          <w:rFonts w:ascii="Tahoma" w:hAnsi="Tahoma" w:cs="Tahoma"/>
          <w:b/>
          <w:bCs/>
          <w:color w:val="2F5496" w:themeColor="accent1" w:themeShade="BF"/>
          <w:sz w:val="24"/>
          <w:szCs w:val="24"/>
          <w:lang w:val="it-IT"/>
        </w:rPr>
      </w:pPr>
      <w:r w:rsidRPr="00C20183">
        <w:rPr>
          <w:rFonts w:ascii="Tahoma" w:hAnsi="Tahoma" w:cs="Tahoma"/>
          <w:b/>
          <w:bCs/>
          <w:color w:val="2F5496" w:themeColor="accent1" w:themeShade="BF"/>
          <w:sz w:val="24"/>
          <w:szCs w:val="24"/>
          <w:lang w:val="it-IT"/>
        </w:rPr>
        <w:t>CRITICITÀ NEL SETTORE DELLA RICERCA</w:t>
      </w:r>
    </w:p>
    <w:p w14:paraId="428821FF" w14:textId="77777777"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Le opportunità offerte dalla Nuova Zelanda sono molte, ma il contesto presenta anche alcune sfide:</w:t>
      </w:r>
    </w:p>
    <w:p w14:paraId="7B8D065B" w14:textId="4D80BC3C" w:rsidR="00D15EC6" w:rsidRPr="004E6B03" w:rsidRDefault="00370E1F" w:rsidP="00817E8E">
      <w:pPr>
        <w:pStyle w:val="NormalWeb"/>
        <w:numPr>
          <w:ilvl w:val="0"/>
          <w:numId w:val="18"/>
        </w:numPr>
        <w:spacing w:line="360" w:lineRule="auto"/>
        <w:contextualSpacing/>
        <w:jc w:val="both"/>
        <w:rPr>
          <w:rFonts w:ascii="Tahoma" w:hAnsi="Tahoma" w:cs="Tahoma"/>
          <w:lang w:val="it-IT"/>
        </w:rPr>
      </w:pPr>
      <w:r>
        <w:rPr>
          <w:rStyle w:val="Strong"/>
          <w:rFonts w:ascii="Tahoma" w:hAnsi="Tahoma" w:cs="Tahoma"/>
          <w:b w:val="0"/>
          <w:bCs w:val="0"/>
          <w:lang w:val="it-IT"/>
        </w:rPr>
        <w:t>t</w:t>
      </w:r>
      <w:r w:rsidR="00D15EC6" w:rsidRPr="00CA208C">
        <w:rPr>
          <w:rStyle w:val="Strong"/>
          <w:rFonts w:ascii="Tahoma" w:hAnsi="Tahoma" w:cs="Tahoma"/>
          <w:b w:val="0"/>
          <w:bCs w:val="0"/>
          <w:lang w:val="it-IT"/>
        </w:rPr>
        <w:t>ransizione istituzionale</w:t>
      </w:r>
      <w:r w:rsidR="00D15EC6" w:rsidRPr="004E6B03">
        <w:rPr>
          <w:rFonts w:ascii="Tahoma" w:hAnsi="Tahoma" w:cs="Tahoma"/>
          <w:lang w:val="it-IT"/>
        </w:rPr>
        <w:t>: la riforma delle istituzioni scientifiche è in corso, quindi alcune procedure potrebbero risultare ancora in evoluzione</w:t>
      </w:r>
      <w:r w:rsidR="00E5318D">
        <w:rPr>
          <w:rFonts w:ascii="Tahoma" w:hAnsi="Tahoma" w:cs="Tahoma"/>
          <w:lang w:val="it-IT"/>
        </w:rPr>
        <w:t>;</w:t>
      </w:r>
    </w:p>
    <w:p w14:paraId="6C39BF47" w14:textId="28074826" w:rsidR="00D15EC6" w:rsidRPr="004E6B03" w:rsidRDefault="00370E1F" w:rsidP="00817E8E">
      <w:pPr>
        <w:pStyle w:val="NormalWeb"/>
        <w:numPr>
          <w:ilvl w:val="0"/>
          <w:numId w:val="18"/>
        </w:numPr>
        <w:spacing w:line="360" w:lineRule="auto"/>
        <w:contextualSpacing/>
        <w:jc w:val="both"/>
        <w:rPr>
          <w:rFonts w:ascii="Tahoma" w:hAnsi="Tahoma" w:cs="Tahoma"/>
          <w:lang w:val="it-IT"/>
        </w:rPr>
      </w:pPr>
      <w:r>
        <w:rPr>
          <w:rStyle w:val="Strong"/>
          <w:rFonts w:ascii="Tahoma" w:hAnsi="Tahoma" w:cs="Tahoma"/>
          <w:b w:val="0"/>
          <w:bCs w:val="0"/>
          <w:lang w:val="it-IT"/>
        </w:rPr>
        <w:t>d</w:t>
      </w:r>
      <w:r w:rsidR="00D15EC6" w:rsidRPr="00CA208C">
        <w:rPr>
          <w:rStyle w:val="Strong"/>
          <w:rFonts w:ascii="Tahoma" w:hAnsi="Tahoma" w:cs="Tahoma"/>
          <w:b w:val="0"/>
          <w:bCs w:val="0"/>
          <w:lang w:val="it-IT"/>
        </w:rPr>
        <w:t>imensioni del mercato</w:t>
      </w:r>
      <w:r w:rsidR="00D15EC6" w:rsidRPr="004E6B03">
        <w:rPr>
          <w:rFonts w:ascii="Tahoma" w:hAnsi="Tahoma" w:cs="Tahoma"/>
          <w:lang w:val="it-IT"/>
        </w:rPr>
        <w:t>: il Paese è piccolo e geografic</w:t>
      </w:r>
      <w:r w:rsidR="00097F86" w:rsidRPr="004E6B03">
        <w:rPr>
          <w:rFonts w:ascii="Tahoma" w:hAnsi="Tahoma" w:cs="Tahoma"/>
          <w:lang w:val="it-IT"/>
        </w:rPr>
        <w:t>amente</w:t>
      </w:r>
      <w:r w:rsidR="00D15EC6" w:rsidRPr="004E6B03">
        <w:rPr>
          <w:rFonts w:ascii="Tahoma" w:hAnsi="Tahoma" w:cs="Tahoma"/>
          <w:lang w:val="it-IT"/>
        </w:rPr>
        <w:t xml:space="preserve"> isolato; spesso la collaborazione in R&amp;D </w:t>
      </w:r>
      <w:r>
        <w:rPr>
          <w:rFonts w:ascii="Tahoma" w:hAnsi="Tahoma" w:cs="Tahoma"/>
          <w:lang w:val="it-IT"/>
        </w:rPr>
        <w:t xml:space="preserve">può però servire anche </w:t>
      </w:r>
      <w:r w:rsidR="00D15EC6" w:rsidRPr="004E6B03">
        <w:rPr>
          <w:rFonts w:ascii="Tahoma" w:hAnsi="Tahoma" w:cs="Tahoma"/>
          <w:lang w:val="it-IT"/>
        </w:rPr>
        <w:t>come ponte verso mercati asiatici o globali più ampi</w:t>
      </w:r>
      <w:r>
        <w:rPr>
          <w:rFonts w:ascii="Tahoma" w:hAnsi="Tahoma" w:cs="Tahoma"/>
          <w:lang w:val="it-IT"/>
        </w:rPr>
        <w:t>;</w:t>
      </w:r>
    </w:p>
    <w:p w14:paraId="7E6BE81F" w14:textId="33CBBC00" w:rsidR="00D15EC6" w:rsidRPr="004E6B03" w:rsidRDefault="00370E1F" w:rsidP="00817E8E">
      <w:pPr>
        <w:pStyle w:val="NormalWeb"/>
        <w:numPr>
          <w:ilvl w:val="0"/>
          <w:numId w:val="18"/>
        </w:numPr>
        <w:spacing w:line="360" w:lineRule="auto"/>
        <w:contextualSpacing/>
        <w:jc w:val="both"/>
        <w:rPr>
          <w:rFonts w:ascii="Tahoma" w:hAnsi="Tahoma" w:cs="Tahoma"/>
          <w:lang w:val="it-IT"/>
        </w:rPr>
      </w:pPr>
      <w:r>
        <w:rPr>
          <w:rStyle w:val="Strong"/>
          <w:rFonts w:ascii="Tahoma" w:hAnsi="Tahoma" w:cs="Tahoma"/>
          <w:b w:val="0"/>
          <w:bCs w:val="0"/>
          <w:lang w:val="it-IT"/>
        </w:rPr>
        <w:t>n</w:t>
      </w:r>
      <w:r w:rsidR="00D15EC6" w:rsidRPr="00CA208C">
        <w:rPr>
          <w:rStyle w:val="Strong"/>
          <w:rFonts w:ascii="Tahoma" w:hAnsi="Tahoma" w:cs="Tahoma"/>
          <w:b w:val="0"/>
          <w:bCs w:val="0"/>
          <w:lang w:val="it-IT"/>
        </w:rPr>
        <w:t>ecessità di partnership culturali</w:t>
      </w:r>
      <w:r w:rsidR="00D15EC6" w:rsidRPr="004E6B03">
        <w:rPr>
          <w:rFonts w:ascii="Tahoma" w:hAnsi="Tahoma" w:cs="Tahoma"/>
          <w:lang w:val="it-IT"/>
        </w:rPr>
        <w:t>: lavorare con enti Māori o con istituzioni accademiche richiede un approccio rispettoso, inclusivo e di co-progettazione</w:t>
      </w:r>
      <w:r>
        <w:rPr>
          <w:rFonts w:ascii="Tahoma" w:hAnsi="Tahoma" w:cs="Tahoma"/>
          <w:lang w:val="it-IT"/>
        </w:rPr>
        <w:t>;</w:t>
      </w:r>
    </w:p>
    <w:p w14:paraId="5C6917FF" w14:textId="3B0E1A0A" w:rsidR="00D44C71" w:rsidRPr="00D44C71" w:rsidRDefault="00370E1F" w:rsidP="00817E8E">
      <w:pPr>
        <w:pStyle w:val="NormalWeb"/>
        <w:numPr>
          <w:ilvl w:val="0"/>
          <w:numId w:val="18"/>
        </w:numPr>
        <w:spacing w:line="360" w:lineRule="auto"/>
        <w:contextualSpacing/>
        <w:jc w:val="both"/>
        <w:rPr>
          <w:rFonts w:ascii="Tahoma" w:hAnsi="Tahoma" w:cs="Tahoma"/>
          <w:lang w:val="it-IT"/>
        </w:rPr>
      </w:pPr>
      <w:r>
        <w:rPr>
          <w:rStyle w:val="Strong"/>
          <w:rFonts w:ascii="Tahoma" w:hAnsi="Tahoma" w:cs="Tahoma"/>
          <w:b w:val="0"/>
          <w:bCs w:val="0"/>
          <w:lang w:val="it-IT"/>
        </w:rPr>
        <w:t>c</w:t>
      </w:r>
      <w:r w:rsidR="00D15EC6" w:rsidRPr="00CA208C">
        <w:rPr>
          <w:rStyle w:val="Strong"/>
          <w:rFonts w:ascii="Tahoma" w:hAnsi="Tahoma" w:cs="Tahoma"/>
          <w:b w:val="0"/>
          <w:bCs w:val="0"/>
          <w:lang w:val="it-IT"/>
        </w:rPr>
        <w:t>ompetitività internazionale</w:t>
      </w:r>
      <w:r w:rsidR="00D15EC6" w:rsidRPr="004E6B03">
        <w:rPr>
          <w:rFonts w:ascii="Tahoma" w:hAnsi="Tahoma" w:cs="Tahoma"/>
          <w:lang w:val="it-IT"/>
        </w:rPr>
        <w:t>: molti Paesi stanno investendo in settori simili; emergere in un contesto competitivo richiede strategie mirate.</w:t>
      </w:r>
    </w:p>
    <w:p w14:paraId="68CCD050" w14:textId="727CEB1B" w:rsidR="00817E8E" w:rsidRDefault="00817E8E" w:rsidP="00817E8E">
      <w:pPr>
        <w:pStyle w:val="NormalWeb"/>
        <w:spacing w:line="360" w:lineRule="auto"/>
        <w:contextualSpacing/>
        <w:jc w:val="both"/>
        <w:rPr>
          <w:rFonts w:ascii="Tahoma" w:hAnsi="Tahoma" w:cs="Tahoma"/>
          <w:lang w:val="it-IT"/>
        </w:rPr>
      </w:pPr>
    </w:p>
    <w:p w14:paraId="3D54689D" w14:textId="77777777" w:rsidR="00817E8E" w:rsidRPr="00884422" w:rsidRDefault="00817E8E" w:rsidP="00817E8E">
      <w:pPr>
        <w:pStyle w:val="NormalWeb"/>
        <w:spacing w:line="360" w:lineRule="auto"/>
        <w:contextualSpacing/>
        <w:jc w:val="both"/>
        <w:rPr>
          <w:rFonts w:ascii="Tahoma" w:hAnsi="Tahoma" w:cs="Tahoma"/>
          <w:lang w:val="it-IT"/>
        </w:rPr>
      </w:pPr>
    </w:p>
    <w:p w14:paraId="0B65CCCE" w14:textId="4F4D5534" w:rsidR="00D15EC6" w:rsidRPr="0028155E" w:rsidRDefault="004D01DB" w:rsidP="00817E8E">
      <w:pPr>
        <w:pStyle w:val="NoSpacing"/>
        <w:numPr>
          <w:ilvl w:val="1"/>
          <w:numId w:val="26"/>
        </w:numPr>
        <w:rPr>
          <w:rFonts w:ascii="Tahoma" w:hAnsi="Tahoma" w:cs="Tahoma"/>
          <w:b/>
          <w:bCs/>
          <w:color w:val="2F5496" w:themeColor="accent1" w:themeShade="BF"/>
          <w:sz w:val="24"/>
          <w:szCs w:val="24"/>
          <w:lang w:val="it-IT"/>
        </w:rPr>
      </w:pPr>
      <w:r w:rsidRPr="0028155E">
        <w:rPr>
          <w:rFonts w:ascii="Tahoma" w:hAnsi="Tahoma" w:cs="Tahoma"/>
          <w:b/>
          <w:bCs/>
          <w:color w:val="2F5496" w:themeColor="accent1" w:themeShade="BF"/>
          <w:sz w:val="24"/>
          <w:szCs w:val="24"/>
          <w:lang w:val="it-IT"/>
        </w:rPr>
        <w:t>CONCLUSIONI</w:t>
      </w:r>
    </w:p>
    <w:p w14:paraId="5B6EBBF3" w14:textId="77777777"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La Nuova Zelanda sta ridefinendo il proprio sistema della ricerca e dell’innovazione con una visione moderna e orientata alla crescita. La centralizzazione dei finanziamenti, la creazione di nuovi poli di eccellenza, gli investimenti in tecnologie avanzate e la valorizzazione della conoscenza indigena costituiscono un mosaico coerente che mira a rafforzare la competitività del Paese nel mondo.</w:t>
      </w:r>
    </w:p>
    <w:p w14:paraId="422D2D32" w14:textId="00652B08" w:rsidR="00D15EC6" w:rsidRPr="004E6B03"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Per l’Italia, questo contesto rappresenta un</w:t>
      </w:r>
      <w:r w:rsidR="004D50E1">
        <w:rPr>
          <w:rFonts w:ascii="Tahoma" w:hAnsi="Tahoma" w:cs="Tahoma"/>
          <w:lang w:val="it-IT"/>
        </w:rPr>
        <w:t xml:space="preserve"> ottimo scenario dove sviluppare la propria</w:t>
      </w:r>
      <w:r w:rsidRPr="004E6B03">
        <w:rPr>
          <w:rFonts w:ascii="Tahoma" w:hAnsi="Tahoma" w:cs="Tahoma"/>
          <w:lang w:val="it-IT"/>
        </w:rPr>
        <w:t xml:space="preserve"> </w:t>
      </w:r>
      <w:r w:rsidRPr="004E6B03">
        <w:rPr>
          <w:rStyle w:val="Strong"/>
          <w:rFonts w:ascii="Tahoma" w:hAnsi="Tahoma" w:cs="Tahoma"/>
          <w:b w:val="0"/>
          <w:bCs w:val="0"/>
          <w:lang w:val="it-IT"/>
        </w:rPr>
        <w:t>diplomazia della crescita</w:t>
      </w:r>
      <w:r w:rsidRPr="004E6B03">
        <w:rPr>
          <w:rFonts w:ascii="Tahoma" w:hAnsi="Tahoma" w:cs="Tahoma"/>
          <w:lang w:val="it-IT"/>
        </w:rPr>
        <w:t>:</w:t>
      </w:r>
      <w:r w:rsidRPr="004E6B03">
        <w:rPr>
          <w:rFonts w:ascii="Tahoma" w:hAnsi="Tahoma" w:cs="Tahoma"/>
          <w:b/>
          <w:bCs/>
          <w:lang w:val="it-IT"/>
        </w:rPr>
        <w:t xml:space="preserve"> </w:t>
      </w:r>
      <w:r w:rsidRPr="004E6B03">
        <w:rPr>
          <w:rFonts w:ascii="Tahoma" w:hAnsi="Tahoma" w:cs="Tahoma"/>
          <w:lang w:val="it-IT"/>
        </w:rPr>
        <w:t>l’opportunità di collaborare con un Paese</w:t>
      </w:r>
      <w:r w:rsidR="0057169C">
        <w:rPr>
          <w:rFonts w:ascii="Tahoma" w:hAnsi="Tahoma" w:cs="Tahoma"/>
          <w:lang w:val="it-IT"/>
        </w:rPr>
        <w:t xml:space="preserve"> “like minded”</w:t>
      </w:r>
      <w:r w:rsidRPr="004E6B03">
        <w:rPr>
          <w:rFonts w:ascii="Tahoma" w:hAnsi="Tahoma" w:cs="Tahoma"/>
          <w:lang w:val="it-IT"/>
        </w:rPr>
        <w:t xml:space="preserve"> dinamico, innovativo</w:t>
      </w:r>
      <w:r w:rsidR="0057169C">
        <w:rPr>
          <w:rFonts w:ascii="Tahoma" w:hAnsi="Tahoma" w:cs="Tahoma"/>
          <w:lang w:val="it-IT"/>
        </w:rPr>
        <w:t>,</w:t>
      </w:r>
      <w:r w:rsidRPr="004E6B03">
        <w:rPr>
          <w:rFonts w:ascii="Tahoma" w:hAnsi="Tahoma" w:cs="Tahoma"/>
          <w:lang w:val="it-IT"/>
        </w:rPr>
        <w:t xml:space="preserve"> altamente collaborativo, capace di offrire partnership scientifiche e industriali che uniscono ricerca di frontiera e applicazioni tecnologiche concrete.</w:t>
      </w:r>
    </w:p>
    <w:p w14:paraId="5E283D63" w14:textId="453F3C03" w:rsidR="00D44C71" w:rsidRPr="00D44C71" w:rsidRDefault="00D15EC6" w:rsidP="00817E8E">
      <w:pPr>
        <w:pStyle w:val="NormalWeb"/>
        <w:spacing w:line="360" w:lineRule="auto"/>
        <w:contextualSpacing/>
        <w:jc w:val="both"/>
        <w:rPr>
          <w:rFonts w:ascii="Tahoma" w:hAnsi="Tahoma" w:cs="Tahoma"/>
          <w:lang w:val="it-IT"/>
        </w:rPr>
      </w:pPr>
      <w:r w:rsidRPr="004E6B03">
        <w:rPr>
          <w:rFonts w:ascii="Tahoma" w:hAnsi="Tahoma" w:cs="Tahoma"/>
          <w:lang w:val="it-IT"/>
        </w:rPr>
        <w:t>Le imprese italiane che sapranno cogliere questi segnali potranno integrare capacità complementari, aprire nuovi mercati e partecipare a progetti internazionali strategici nei settori più promettenti dell’economia globale.</w:t>
      </w:r>
    </w:p>
    <w:p w14:paraId="70679B10" w14:textId="77777777" w:rsidR="00CA4186" w:rsidRPr="00CA4186" w:rsidRDefault="00CA4186"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p w14:paraId="32ABB814" w14:textId="44307772" w:rsidR="00A86DBA" w:rsidRPr="00884422" w:rsidRDefault="00A86DBA" w:rsidP="00817E8E">
      <w:pPr>
        <w:pStyle w:val="NormalWeb"/>
        <w:shd w:val="clear" w:color="auto" w:fill="FFFFFF"/>
        <w:spacing w:before="0" w:beforeAutospacing="0" w:line="360" w:lineRule="auto"/>
        <w:contextualSpacing/>
        <w:jc w:val="both"/>
        <w:rPr>
          <w:rFonts w:ascii="Tahoma" w:hAnsi="Tahoma" w:cs="Tahoma"/>
          <w:i/>
          <w:iCs/>
          <w:color w:val="19191A"/>
          <w:shd w:val="clear" w:color="auto" w:fill="FFFFFF"/>
          <w:lang w:val="it-IT"/>
        </w:rPr>
      </w:pPr>
    </w:p>
    <w:sectPr w:rsidR="00A86DBA" w:rsidRPr="00884422" w:rsidSect="00301F5E">
      <w:headerReference w:type="default" r:id="rId37"/>
      <w:footerReference w:type="default" r:id="rId3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FBF71" w14:textId="77777777" w:rsidR="00E01CC4" w:rsidRDefault="00E01CC4" w:rsidP="00D30F06">
      <w:pPr>
        <w:spacing w:before="0" w:after="0" w:line="240" w:lineRule="auto"/>
      </w:pPr>
      <w:r>
        <w:separator/>
      </w:r>
    </w:p>
  </w:endnote>
  <w:endnote w:type="continuationSeparator" w:id="0">
    <w:p w14:paraId="752DFC04" w14:textId="77777777" w:rsidR="00E01CC4" w:rsidRDefault="00E01CC4" w:rsidP="00D30F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B829" w14:textId="74D30094" w:rsidR="00301F5E" w:rsidRDefault="00301F5E">
    <w:pPr>
      <w:pStyle w:val="Footer"/>
      <w:jc w:val="right"/>
    </w:pPr>
  </w:p>
  <w:p w14:paraId="1DACA64E" w14:textId="77777777" w:rsidR="00301F5E" w:rsidRDefault="00301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119714"/>
      <w:docPartObj>
        <w:docPartGallery w:val="Page Numbers (Bottom of Page)"/>
        <w:docPartUnique/>
      </w:docPartObj>
    </w:sdtPr>
    <w:sdtEndPr>
      <w:rPr>
        <w:noProof/>
      </w:rPr>
    </w:sdtEndPr>
    <w:sdtContent>
      <w:p w14:paraId="56F2E9A7" w14:textId="77777777" w:rsidR="00301F5E" w:rsidRDefault="00301F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FA8C67" w14:textId="77777777" w:rsidR="00301F5E" w:rsidRDefault="00301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EF694" w14:textId="77777777" w:rsidR="00E01CC4" w:rsidRDefault="00E01CC4" w:rsidP="00D30F06">
      <w:pPr>
        <w:spacing w:before="0" w:after="0" w:line="240" w:lineRule="auto"/>
      </w:pPr>
      <w:r>
        <w:separator/>
      </w:r>
    </w:p>
  </w:footnote>
  <w:footnote w:type="continuationSeparator" w:id="0">
    <w:p w14:paraId="4B14F2E5" w14:textId="77777777" w:rsidR="00E01CC4" w:rsidRDefault="00E01CC4" w:rsidP="00D30F06">
      <w:pPr>
        <w:spacing w:before="0" w:after="0" w:line="240" w:lineRule="auto"/>
      </w:pPr>
      <w:r>
        <w:continuationSeparator/>
      </w:r>
    </w:p>
  </w:footnote>
  <w:footnote w:id="1">
    <w:p w14:paraId="626C26E6" w14:textId="3B19A8EB" w:rsidR="00405D97" w:rsidRPr="00405D97" w:rsidRDefault="00405D97" w:rsidP="00405D97">
      <w:pPr>
        <w:pStyle w:val="FootnoteText"/>
        <w:rPr>
          <w:lang w:val="it-IT"/>
        </w:rPr>
      </w:pPr>
      <w:r w:rsidRPr="00405D97">
        <w:rPr>
          <w:rStyle w:val="FootnoteReference"/>
        </w:rPr>
        <w:footnoteRef/>
      </w:r>
      <w:r w:rsidRPr="00405D97">
        <w:rPr>
          <w:lang w:val="it-IT"/>
        </w:rPr>
        <w:t xml:space="preserve">Si intende </w:t>
      </w:r>
      <w:r w:rsidR="007B28A5">
        <w:rPr>
          <w:lang w:val="it-IT"/>
        </w:rPr>
        <w:t xml:space="preserve">per </w:t>
      </w:r>
      <w:r w:rsidRPr="00405D97">
        <w:rPr>
          <w:lang w:val="it-IT"/>
        </w:rPr>
        <w:t>significant business asset:</w:t>
      </w:r>
    </w:p>
    <w:p w14:paraId="4E5EA385" w14:textId="4BD3FA18" w:rsidR="00405D97" w:rsidRPr="00405D97" w:rsidRDefault="007B28A5" w:rsidP="00352DDF">
      <w:pPr>
        <w:pStyle w:val="FootnoteText"/>
        <w:numPr>
          <w:ilvl w:val="0"/>
          <w:numId w:val="5"/>
        </w:numPr>
        <w:rPr>
          <w:lang w:val="it-IT"/>
        </w:rPr>
      </w:pPr>
      <w:r>
        <w:rPr>
          <w:lang w:val="it-IT"/>
        </w:rPr>
        <w:t>l</w:t>
      </w:r>
      <w:r w:rsidR="00405D97" w:rsidRPr="00405D97">
        <w:rPr>
          <w:lang w:val="it-IT"/>
        </w:rPr>
        <w:t>’acquisizione di una partecipazione superiore al 25% in un’impresa (o l’aumento di una partecipazione esistente oltre determinate soglie di controllo) quando il corrispettivo pagato per la parte neozelandese dell’investimento supera i 100 milioni di NZD;</w:t>
      </w:r>
    </w:p>
    <w:p w14:paraId="35CFE628" w14:textId="70848E0F" w:rsidR="00405D97" w:rsidRPr="00405D97" w:rsidRDefault="007B28A5" w:rsidP="00352DDF">
      <w:pPr>
        <w:pStyle w:val="FootnoteText"/>
        <w:numPr>
          <w:ilvl w:val="0"/>
          <w:numId w:val="5"/>
        </w:numPr>
        <w:rPr>
          <w:lang w:val="it-IT"/>
        </w:rPr>
      </w:pPr>
      <w:r>
        <w:rPr>
          <w:lang w:val="it-IT"/>
        </w:rPr>
        <w:t>l</w:t>
      </w:r>
      <w:r w:rsidR="00405D97" w:rsidRPr="00405D97">
        <w:rPr>
          <w:lang w:val="it-IT"/>
        </w:rPr>
        <w:t>’acquisizione di una partecipazione superiore al 25% in un’impresa (o l’aumento di una partecipazione esistente oltre determinate soglie di controllo) quando il valore degli asset neozelandesi supera i 100 milioni di NZD;</w:t>
      </w:r>
    </w:p>
    <w:p w14:paraId="7512E56B" w14:textId="5652C31C" w:rsidR="00405D97" w:rsidRPr="00405D97" w:rsidRDefault="007B28A5" w:rsidP="00352DDF">
      <w:pPr>
        <w:pStyle w:val="FootnoteText"/>
        <w:numPr>
          <w:ilvl w:val="0"/>
          <w:numId w:val="5"/>
        </w:numPr>
        <w:rPr>
          <w:lang w:val="it-IT"/>
        </w:rPr>
      </w:pPr>
      <w:r>
        <w:rPr>
          <w:lang w:val="it-IT"/>
        </w:rPr>
        <w:t>l</w:t>
      </w:r>
      <w:r w:rsidR="00405D97" w:rsidRPr="00405D97">
        <w:rPr>
          <w:lang w:val="it-IT"/>
        </w:rPr>
        <w:t>a costituzione di un’impresa in Nuova Zelanda quando la spesa totale prevista per l’avvio dell’impresa supera i 100 milioni di NZD;</w:t>
      </w:r>
    </w:p>
    <w:p w14:paraId="0D9A6E52" w14:textId="454F9F5F" w:rsidR="00405D97" w:rsidRPr="00405D97" w:rsidRDefault="007B28A5" w:rsidP="00352DDF">
      <w:pPr>
        <w:pStyle w:val="FootnoteText"/>
        <w:numPr>
          <w:ilvl w:val="0"/>
          <w:numId w:val="5"/>
        </w:numPr>
        <w:rPr>
          <w:lang w:val="it-IT"/>
        </w:rPr>
      </w:pPr>
      <w:r>
        <w:rPr>
          <w:lang w:val="it-IT"/>
        </w:rPr>
        <w:t>l</w:t>
      </w:r>
      <w:r w:rsidR="00405D97" w:rsidRPr="00405D97">
        <w:rPr>
          <w:lang w:val="it-IT"/>
        </w:rPr>
        <w:t xml:space="preserve">’acquisizione di beni (inclusi avviamento </w:t>
      </w:r>
      <w:r>
        <w:rPr>
          <w:lang w:val="it-IT"/>
        </w:rPr>
        <w:t>“</w:t>
      </w:r>
      <w:r w:rsidR="00405D97" w:rsidRPr="00405D97">
        <w:rPr>
          <w:lang w:val="it-IT"/>
        </w:rPr>
        <w:t>goodwill</w:t>
      </w:r>
      <w:r>
        <w:rPr>
          <w:lang w:val="it-IT"/>
        </w:rPr>
        <w:t>”</w:t>
      </w:r>
      <w:r w:rsidR="00405D97" w:rsidRPr="00405D97">
        <w:rPr>
          <w:lang w:val="it-IT"/>
        </w:rPr>
        <w:t xml:space="preserve"> e altre attività immateriali) quando il corrispettivo pagato supera i 100 milioni di NZD;</w:t>
      </w:r>
    </w:p>
    <w:p w14:paraId="205654E5" w14:textId="77777777" w:rsidR="00405D97" w:rsidRPr="00405D97" w:rsidRDefault="00405D97" w:rsidP="00405D97">
      <w:pPr>
        <w:pStyle w:val="FootnoteText"/>
        <w:rPr>
          <w:lang w:val="it-IT"/>
        </w:rPr>
      </w:pPr>
      <w:r w:rsidRPr="00405D97">
        <w:rPr>
          <w:lang w:val="it-IT"/>
        </w:rPr>
        <w:t>Gli investitori provenienti da alcuni Paesi che hanno accordi commerciali con la Nuova Zelanda beneficeranno di soglie monetarie più elevate, invece dell’attuale soglia standard di 100 milioni di NZD indicata sopra. Ad esempio, la soglia di 100 milioni di NZD aumenta a:</w:t>
      </w:r>
    </w:p>
    <w:p w14:paraId="2A1D47D5" w14:textId="726D5F1B" w:rsidR="00405D97" w:rsidRPr="00405D97" w:rsidRDefault="00405D97" w:rsidP="00352DDF">
      <w:pPr>
        <w:pStyle w:val="FootnoteText"/>
        <w:numPr>
          <w:ilvl w:val="0"/>
          <w:numId w:val="5"/>
        </w:numPr>
        <w:rPr>
          <w:lang w:val="it-IT"/>
        </w:rPr>
      </w:pPr>
      <w:r w:rsidRPr="00405D97">
        <w:rPr>
          <w:lang w:val="it-IT"/>
        </w:rPr>
        <w:t xml:space="preserve">200 milioni di NZD per determinati investitori non governativi provenienti da Paesi / territori doganali separati </w:t>
      </w:r>
      <w:r w:rsidR="007B28A5">
        <w:rPr>
          <w:lang w:val="it-IT"/>
        </w:rPr>
        <w:t xml:space="preserve">ma legati alla NZ da </w:t>
      </w:r>
      <w:r w:rsidRPr="00405D97">
        <w:rPr>
          <w:lang w:val="it-IT"/>
        </w:rPr>
        <w:t>accordi internazionali;</w:t>
      </w:r>
    </w:p>
    <w:p w14:paraId="35EBFDEB" w14:textId="7FE8BD94" w:rsidR="00405D97" w:rsidRPr="00405D97" w:rsidRDefault="00405D97" w:rsidP="00352DDF">
      <w:pPr>
        <w:pStyle w:val="FootnoteText"/>
        <w:numPr>
          <w:ilvl w:val="0"/>
          <w:numId w:val="5"/>
        </w:numPr>
        <w:rPr>
          <w:lang w:val="it-IT"/>
        </w:rPr>
      </w:pPr>
      <w:r w:rsidRPr="00405D97">
        <w:rPr>
          <w:lang w:val="it-IT"/>
        </w:rPr>
        <w:t>650 milioni di NZD per determinati investitori non governativi australiani per l’anno fino al 31 dicembre 2025 (con possibile adeguamento annuale).</w:t>
      </w:r>
    </w:p>
    <w:p w14:paraId="1C77BDED" w14:textId="3978E23C" w:rsidR="00405D97" w:rsidRPr="00405D97" w:rsidRDefault="00405D97">
      <w:pPr>
        <w:pStyle w:val="FootnoteText"/>
        <w:rPr>
          <w:lang w:val="it-IT"/>
        </w:rPr>
      </w:pPr>
    </w:p>
  </w:footnote>
  <w:footnote w:id="2">
    <w:p w14:paraId="0E1CC89A" w14:textId="42D114E3" w:rsidR="00405D97" w:rsidRPr="00405D97" w:rsidRDefault="00405D97" w:rsidP="00405D97">
      <w:pPr>
        <w:pStyle w:val="FootnoteText"/>
        <w:rPr>
          <w:lang w:val="it-IT"/>
        </w:rPr>
      </w:pPr>
      <w:r w:rsidRPr="00405D97">
        <w:rPr>
          <w:rStyle w:val="FootnoteReference"/>
        </w:rPr>
        <w:footnoteRef/>
      </w:r>
      <w:r w:rsidRPr="00405D97">
        <w:rPr>
          <w:lang w:val="it-IT"/>
        </w:rPr>
        <w:t xml:space="preserve"> Il “sensitive land” (terreno sensibile) comprende l’acquisto della proprietà assoluta (freehold) del terreno; L’acquisizione di un diritto di locazione a lungo termine (ossia 3 anni o più per terreni residenziali; 10 anni o più per terreni non residenziali), e l’’acquisizione di una partecipazione superiore al 25% (o l’aumento di una partecipazione esistente oltre determinate soglie di controllo) in un’entità che possiede o controlla terreno sensibile.</w:t>
      </w:r>
    </w:p>
    <w:p w14:paraId="7568F4C7" w14:textId="77777777" w:rsidR="00405D97" w:rsidRPr="00405D97" w:rsidRDefault="00405D97" w:rsidP="00405D97">
      <w:pPr>
        <w:pStyle w:val="FootnoteText"/>
        <w:rPr>
          <w:lang w:val="it-IT"/>
        </w:rPr>
      </w:pPr>
      <w:r w:rsidRPr="00405D97">
        <w:rPr>
          <w:lang w:val="it-IT"/>
        </w:rPr>
        <w:t>Questi terreni sensibili sono stabiliti da regolamenti ed includono:</w:t>
      </w:r>
    </w:p>
    <w:p w14:paraId="692ED201" w14:textId="704B54EF" w:rsidR="00405D97" w:rsidRPr="00405D97" w:rsidRDefault="007B28A5" w:rsidP="00352DDF">
      <w:pPr>
        <w:pStyle w:val="FootnoteText"/>
        <w:numPr>
          <w:ilvl w:val="0"/>
          <w:numId w:val="5"/>
        </w:numPr>
        <w:rPr>
          <w:lang w:val="it-IT"/>
        </w:rPr>
      </w:pPr>
      <w:r>
        <w:rPr>
          <w:lang w:val="it-IT"/>
        </w:rPr>
        <w:t>g</w:t>
      </w:r>
      <w:r w:rsidR="00405D97" w:rsidRPr="00405D97">
        <w:rPr>
          <w:lang w:val="it-IT"/>
        </w:rPr>
        <w:t>randi aree non urbane, terreni non urbani con una superficie superiore a cinque ettari (inclusi i terreni agricoli);</w:t>
      </w:r>
    </w:p>
    <w:p w14:paraId="34451BE2" w14:textId="2DDD1427" w:rsidR="00405D97" w:rsidRPr="00405D97" w:rsidRDefault="007B28A5" w:rsidP="00352DDF">
      <w:pPr>
        <w:pStyle w:val="FootnoteText"/>
        <w:numPr>
          <w:ilvl w:val="0"/>
          <w:numId w:val="5"/>
        </w:numPr>
        <w:rPr>
          <w:lang w:val="it-IT"/>
        </w:rPr>
      </w:pPr>
      <w:r>
        <w:rPr>
          <w:lang w:val="it-IT"/>
        </w:rPr>
        <w:t>t</w:t>
      </w:r>
      <w:r w:rsidR="00405D97" w:rsidRPr="00405D97">
        <w:rPr>
          <w:lang w:val="it-IT"/>
        </w:rPr>
        <w:t xml:space="preserve">erreni residenziali, </w:t>
      </w:r>
      <w:r>
        <w:rPr>
          <w:lang w:val="it-IT"/>
        </w:rPr>
        <w:t>t</w:t>
      </w:r>
      <w:r w:rsidR="00405D97" w:rsidRPr="00405D97">
        <w:rPr>
          <w:lang w:val="it-IT"/>
        </w:rPr>
        <w:t>erreni che, nel District Valuation Roll, hanno una categoria immobiliare classificata come “residential” o “lifestyle”;</w:t>
      </w:r>
    </w:p>
    <w:p w14:paraId="62B03C4F" w14:textId="6C953348" w:rsidR="00405D97" w:rsidRPr="00405D97" w:rsidRDefault="007B28A5" w:rsidP="00352DDF">
      <w:pPr>
        <w:pStyle w:val="FootnoteText"/>
        <w:numPr>
          <w:ilvl w:val="0"/>
          <w:numId w:val="5"/>
        </w:numPr>
        <w:rPr>
          <w:lang w:val="it-IT"/>
        </w:rPr>
      </w:pPr>
      <w:r>
        <w:rPr>
          <w:lang w:val="it-IT"/>
        </w:rPr>
        <w:t>a</w:t>
      </w:r>
      <w:r w:rsidR="00405D97" w:rsidRPr="00405D97">
        <w:rPr>
          <w:lang w:val="it-IT"/>
        </w:rPr>
        <w:t xml:space="preserve">ltri tipi di terreno, </w:t>
      </w:r>
      <w:r>
        <w:rPr>
          <w:lang w:val="it-IT"/>
        </w:rPr>
        <w:t>t</w:t>
      </w:r>
      <w:r w:rsidR="00405D97" w:rsidRPr="00405D97">
        <w:rPr>
          <w:lang w:val="it-IT"/>
        </w:rPr>
        <w:t>erreni di determinate dimensioni che comprendono o confinano con aree di particolare rilevanza, ad esempio zone marine e costiere; fondali lacustri (lakebed); terreni classificati come riserve; terreni di significato storico; terreni destinati alla conservazione; terreni designati come Māori reservation</w:t>
      </w:r>
      <w:r>
        <w:rPr>
          <w:lang w:val="it-IT"/>
        </w:rPr>
        <w:t>;</w:t>
      </w:r>
    </w:p>
    <w:p w14:paraId="7A85848F" w14:textId="75F54B8F" w:rsidR="00405D97" w:rsidRPr="00405D97" w:rsidRDefault="007B28A5" w:rsidP="00352DDF">
      <w:pPr>
        <w:pStyle w:val="FootnoteText"/>
        <w:numPr>
          <w:ilvl w:val="0"/>
          <w:numId w:val="5"/>
        </w:numPr>
        <w:rPr>
          <w:lang w:val="it-IT"/>
        </w:rPr>
      </w:pPr>
      <w:r>
        <w:rPr>
          <w:lang w:val="it-IT"/>
        </w:rPr>
        <w:t>i</w:t>
      </w:r>
      <w:r w:rsidR="00405D97" w:rsidRPr="00405D97">
        <w:rPr>
          <w:lang w:val="it-IT"/>
        </w:rPr>
        <w:t>sole</w:t>
      </w:r>
      <w:r>
        <w:rPr>
          <w:lang w:val="it-IT"/>
        </w:rPr>
        <w:t>:</w:t>
      </w:r>
      <w:r w:rsidR="00405D97" w:rsidRPr="00405D97">
        <w:rPr>
          <w:lang w:val="it-IT"/>
        </w:rPr>
        <w:t xml:space="preserve"> </w:t>
      </w:r>
      <w:r>
        <w:rPr>
          <w:lang w:val="it-IT"/>
        </w:rPr>
        <w:t>t</w:t>
      </w:r>
      <w:r w:rsidR="00405D97" w:rsidRPr="00405D97">
        <w:rPr>
          <w:lang w:val="it-IT"/>
        </w:rPr>
        <w:t>erreni situati su determinate isole specificate, con superficie superiore a 0,4 ettari.</w:t>
      </w:r>
    </w:p>
    <w:p w14:paraId="2DDF8ECD" w14:textId="77777777" w:rsidR="00405D97" w:rsidRPr="00405D97" w:rsidRDefault="00405D97" w:rsidP="00405D97">
      <w:pPr>
        <w:pStyle w:val="FootnoteText"/>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12B5" w14:textId="66BFC120" w:rsidR="00301F5E" w:rsidRDefault="00301F5E">
    <w:pPr>
      <w:pStyle w:val="Header"/>
      <w:jc w:val="center"/>
    </w:pPr>
  </w:p>
  <w:p w14:paraId="49E4C0B8" w14:textId="77777777" w:rsidR="00301F5E" w:rsidRDefault="00301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EACB" w14:textId="150707E8" w:rsidR="00301F5E" w:rsidRDefault="00301F5E" w:rsidP="00301F5E">
    <w:pPr>
      <w:pStyle w:val="Header"/>
    </w:pPr>
  </w:p>
  <w:p w14:paraId="148D123D" w14:textId="77777777" w:rsidR="00301F5E" w:rsidRDefault="00301F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BDE"/>
    <w:multiLevelType w:val="multilevel"/>
    <w:tmpl w:val="A2008870"/>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6E11133"/>
    <w:multiLevelType w:val="hybridMultilevel"/>
    <w:tmpl w:val="4EEABF6A"/>
    <w:lvl w:ilvl="0" w:tplc="39F6DE58">
      <w:numFmt w:val="bullet"/>
      <w:lvlText w:val="-"/>
      <w:lvlJc w:val="left"/>
      <w:pPr>
        <w:ind w:left="720" w:hanging="360"/>
      </w:pPr>
      <w:rPr>
        <w:rFonts w:ascii="Tahoma" w:eastAsia="Times New Roman" w:hAnsi="Tahoma" w:cs="Tahoma"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EA914CA"/>
    <w:multiLevelType w:val="multilevel"/>
    <w:tmpl w:val="636A3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9466E"/>
    <w:multiLevelType w:val="multilevel"/>
    <w:tmpl w:val="1BD899BC"/>
    <w:styleLink w:val="CurrentList1"/>
    <w:lvl w:ilvl="0">
      <w:start w:val="3"/>
      <w:numFmt w:val="decimal"/>
      <w:lvlText w:val="%1."/>
      <w:lvlJc w:val="left"/>
      <w:pPr>
        <w:ind w:left="360" w:hanging="360"/>
      </w:pPr>
      <w:rPr>
        <w:rFonts w:hint="default"/>
        <w:b/>
        <w:color w:val="215C8A"/>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14861575"/>
    <w:multiLevelType w:val="multilevel"/>
    <w:tmpl w:val="CBD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77C28"/>
    <w:multiLevelType w:val="hybridMultilevel"/>
    <w:tmpl w:val="B20853CE"/>
    <w:lvl w:ilvl="0" w:tplc="981AC308">
      <w:numFmt w:val="bullet"/>
      <w:lvlText w:val="-"/>
      <w:lvlJc w:val="left"/>
      <w:pPr>
        <w:ind w:left="720" w:hanging="360"/>
      </w:pPr>
      <w:rPr>
        <w:rFonts w:ascii="Tahoma" w:eastAsiaTheme="minorEastAsia" w:hAnsi="Tahoma"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9E2E3D"/>
    <w:multiLevelType w:val="multilevel"/>
    <w:tmpl w:val="52F049F2"/>
    <w:lvl w:ilvl="0">
      <w:start w:val="2"/>
      <w:numFmt w:val="decimal"/>
      <w:lvlText w:val="%1."/>
      <w:lvlJc w:val="left"/>
      <w:pPr>
        <w:ind w:left="450" w:hanging="450"/>
      </w:pPr>
      <w:rPr>
        <w:rFonts w:hint="default"/>
        <w:b/>
        <w:bCs/>
        <w:color w:val="2F5496" w:themeColor="accent1" w:themeShade="BF"/>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D7A75F5"/>
    <w:multiLevelType w:val="multilevel"/>
    <w:tmpl w:val="F84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55F24"/>
    <w:multiLevelType w:val="multilevel"/>
    <w:tmpl w:val="6140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8491C"/>
    <w:multiLevelType w:val="multilevel"/>
    <w:tmpl w:val="D7FA362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CF2D9B"/>
    <w:multiLevelType w:val="multilevel"/>
    <w:tmpl w:val="79B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31B5A"/>
    <w:multiLevelType w:val="hybridMultilevel"/>
    <w:tmpl w:val="A986FAFE"/>
    <w:lvl w:ilvl="0" w:tplc="A11AFEFC">
      <w:numFmt w:val="bullet"/>
      <w:lvlText w:val="-"/>
      <w:lvlJc w:val="left"/>
      <w:pPr>
        <w:ind w:left="720" w:hanging="360"/>
      </w:pPr>
      <w:rPr>
        <w:rFonts w:ascii="Tahoma" w:eastAsiaTheme="minorEastAsia" w:hAnsi="Tahoma"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D6F42DF"/>
    <w:multiLevelType w:val="multilevel"/>
    <w:tmpl w:val="B58EA8C4"/>
    <w:lvl w:ilvl="0">
      <w:start w:val="1"/>
      <w:numFmt w:val="decimal"/>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54F50"/>
    <w:multiLevelType w:val="multilevel"/>
    <w:tmpl w:val="0D96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81DB4"/>
    <w:multiLevelType w:val="hybridMultilevel"/>
    <w:tmpl w:val="4E9AC404"/>
    <w:lvl w:ilvl="0" w:tplc="7EBC529A">
      <w:start w:val="2"/>
      <w:numFmt w:val="bullet"/>
      <w:lvlText w:val="-"/>
      <w:lvlJc w:val="left"/>
      <w:pPr>
        <w:ind w:left="720" w:hanging="360"/>
      </w:pPr>
      <w:rPr>
        <w:rFonts w:ascii="Tahoma" w:eastAsiaTheme="minorEastAsia" w:hAnsi="Tahoma"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8D741CB"/>
    <w:multiLevelType w:val="multilevel"/>
    <w:tmpl w:val="7164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0B33C6"/>
    <w:multiLevelType w:val="multilevel"/>
    <w:tmpl w:val="C08E8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64FC2"/>
    <w:multiLevelType w:val="multilevel"/>
    <w:tmpl w:val="2C3A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C2AE2"/>
    <w:multiLevelType w:val="multilevel"/>
    <w:tmpl w:val="A8FA165A"/>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BDE4510"/>
    <w:multiLevelType w:val="multilevel"/>
    <w:tmpl w:val="522C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123085"/>
    <w:multiLevelType w:val="hybridMultilevel"/>
    <w:tmpl w:val="705871B6"/>
    <w:lvl w:ilvl="0" w:tplc="25823CF2">
      <w:numFmt w:val="bullet"/>
      <w:lvlText w:val="-"/>
      <w:lvlJc w:val="left"/>
      <w:pPr>
        <w:ind w:left="1080" w:hanging="360"/>
      </w:pPr>
      <w:rPr>
        <w:rFonts w:ascii="Calibri" w:eastAsiaTheme="minorEastAsi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4F4963AA"/>
    <w:multiLevelType w:val="hybridMultilevel"/>
    <w:tmpl w:val="6A12C9B2"/>
    <w:lvl w:ilvl="0" w:tplc="1278F34C">
      <w:start w:val="1"/>
      <w:numFmt w:val="bullet"/>
      <w:lvlText w:val="-"/>
      <w:lvlJc w:val="left"/>
      <w:pPr>
        <w:ind w:left="720" w:hanging="360"/>
      </w:pPr>
      <w:rPr>
        <w:rFonts w:ascii="Tahoma" w:eastAsia="Times New Roman" w:hAnsi="Tahoma" w:cs="Tahoma" w:hint="default"/>
        <w:b w:val="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51E75A77"/>
    <w:multiLevelType w:val="multilevel"/>
    <w:tmpl w:val="98D4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EE6547"/>
    <w:multiLevelType w:val="hybridMultilevel"/>
    <w:tmpl w:val="7AA453EC"/>
    <w:lvl w:ilvl="0" w:tplc="AA7E50CE">
      <w:numFmt w:val="bullet"/>
      <w:lvlText w:val="-"/>
      <w:lvlJc w:val="left"/>
      <w:pPr>
        <w:ind w:left="720" w:hanging="360"/>
      </w:pPr>
      <w:rPr>
        <w:rFonts w:ascii="Tahoma" w:eastAsiaTheme="minorEastAsia" w:hAnsi="Tahoma"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611E65"/>
    <w:multiLevelType w:val="multilevel"/>
    <w:tmpl w:val="E1028B04"/>
    <w:lvl w:ilvl="0">
      <w:start w:val="3"/>
      <w:numFmt w:val="decimal"/>
      <w:lvlText w:val="%1."/>
      <w:lvlJc w:val="left"/>
      <w:pPr>
        <w:ind w:left="360" w:hanging="360"/>
      </w:pPr>
      <w:rPr>
        <w:rFonts w:hint="default"/>
        <w:b/>
        <w:color w:val="215C8A"/>
      </w:rPr>
    </w:lvl>
    <w:lvl w:ilvl="1">
      <w:start w:val="1"/>
      <w:numFmt w:val="decimal"/>
      <w:isLgl/>
      <w:lvlText w:val="%1.%2."/>
      <w:lvlJc w:val="left"/>
      <w:pPr>
        <w:ind w:left="720" w:hanging="720"/>
      </w:pPr>
      <w:rPr>
        <w:rFonts w:hint="default"/>
        <w:b/>
        <w:bCs/>
        <w:color w:val="2F5496" w:themeColor="accent1" w:themeShade="BF"/>
      </w:rPr>
    </w:lvl>
    <w:lvl w:ilvl="2">
      <w:start w:val="1"/>
      <w:numFmt w:val="decimal"/>
      <w:isLgl/>
      <w:lvlText w:val="%1.%2.%3."/>
      <w:lvlJc w:val="left"/>
      <w:pPr>
        <w:ind w:left="1080" w:hanging="1080"/>
      </w:pPr>
      <w:rPr>
        <w:rFonts w:hint="default"/>
        <w:color w:val="2F5496" w:themeColor="accent1" w:themeShade="BF"/>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572B5FAF"/>
    <w:multiLevelType w:val="multilevel"/>
    <w:tmpl w:val="FC84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32A43"/>
    <w:multiLevelType w:val="multilevel"/>
    <w:tmpl w:val="12F46BC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7F17AD"/>
    <w:multiLevelType w:val="multilevel"/>
    <w:tmpl w:val="08A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F871E8"/>
    <w:multiLevelType w:val="multilevel"/>
    <w:tmpl w:val="26D2B258"/>
    <w:lvl w:ilvl="0">
      <w:start w:val="1"/>
      <w:numFmt w:val="decimal"/>
      <w:lvlText w:val="%1."/>
      <w:lvlJc w:val="left"/>
      <w:pPr>
        <w:ind w:left="410" w:hanging="4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15:restartNumberingAfterBreak="0">
    <w:nsid w:val="5E8E2E57"/>
    <w:multiLevelType w:val="multilevel"/>
    <w:tmpl w:val="D412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63414E"/>
    <w:multiLevelType w:val="multilevel"/>
    <w:tmpl w:val="3BF487BC"/>
    <w:lvl w:ilvl="0">
      <w:start w:val="3"/>
      <w:numFmt w:val="decimal"/>
      <w:lvlText w:val="%1."/>
      <w:lvlJc w:val="left"/>
      <w:pPr>
        <w:ind w:left="450" w:hanging="450"/>
      </w:pPr>
      <w:rPr>
        <w:rFonts w:hint="default"/>
        <w:b/>
        <w:color w:val="215C8A"/>
      </w:rPr>
    </w:lvl>
    <w:lvl w:ilvl="1">
      <w:start w:val="1"/>
      <w:numFmt w:val="decimal"/>
      <w:lvlText w:val="%1.%2."/>
      <w:lvlJc w:val="left"/>
      <w:pPr>
        <w:ind w:left="720" w:hanging="720"/>
      </w:pPr>
      <w:rPr>
        <w:rFonts w:hint="default"/>
        <w:b/>
        <w:color w:val="215C8A"/>
      </w:rPr>
    </w:lvl>
    <w:lvl w:ilvl="2">
      <w:start w:val="1"/>
      <w:numFmt w:val="decimal"/>
      <w:lvlText w:val="%1.%2.%3."/>
      <w:lvlJc w:val="left"/>
      <w:pPr>
        <w:ind w:left="1080" w:hanging="1080"/>
      </w:pPr>
      <w:rPr>
        <w:rFonts w:hint="default"/>
        <w:b/>
        <w:color w:val="215C8A"/>
      </w:rPr>
    </w:lvl>
    <w:lvl w:ilvl="3">
      <w:start w:val="1"/>
      <w:numFmt w:val="decimal"/>
      <w:lvlText w:val="%1.%2.%3.%4."/>
      <w:lvlJc w:val="left"/>
      <w:pPr>
        <w:ind w:left="1080" w:hanging="1080"/>
      </w:pPr>
      <w:rPr>
        <w:rFonts w:hint="default"/>
        <w:b/>
        <w:color w:val="215C8A"/>
      </w:rPr>
    </w:lvl>
    <w:lvl w:ilvl="4">
      <w:start w:val="1"/>
      <w:numFmt w:val="decimal"/>
      <w:lvlText w:val="%1.%2.%3.%4.%5."/>
      <w:lvlJc w:val="left"/>
      <w:pPr>
        <w:ind w:left="1440" w:hanging="1440"/>
      </w:pPr>
      <w:rPr>
        <w:rFonts w:hint="default"/>
        <w:b/>
        <w:color w:val="215C8A"/>
      </w:rPr>
    </w:lvl>
    <w:lvl w:ilvl="5">
      <w:start w:val="1"/>
      <w:numFmt w:val="decimal"/>
      <w:lvlText w:val="%1.%2.%3.%4.%5.%6."/>
      <w:lvlJc w:val="left"/>
      <w:pPr>
        <w:ind w:left="1800" w:hanging="1800"/>
      </w:pPr>
      <w:rPr>
        <w:rFonts w:hint="default"/>
        <w:b/>
        <w:color w:val="215C8A"/>
      </w:rPr>
    </w:lvl>
    <w:lvl w:ilvl="6">
      <w:start w:val="1"/>
      <w:numFmt w:val="decimal"/>
      <w:lvlText w:val="%1.%2.%3.%4.%5.%6.%7."/>
      <w:lvlJc w:val="left"/>
      <w:pPr>
        <w:ind w:left="1800" w:hanging="1800"/>
      </w:pPr>
      <w:rPr>
        <w:rFonts w:hint="default"/>
        <w:b/>
        <w:color w:val="215C8A"/>
      </w:rPr>
    </w:lvl>
    <w:lvl w:ilvl="7">
      <w:start w:val="1"/>
      <w:numFmt w:val="decimal"/>
      <w:lvlText w:val="%1.%2.%3.%4.%5.%6.%7.%8."/>
      <w:lvlJc w:val="left"/>
      <w:pPr>
        <w:ind w:left="2160" w:hanging="2160"/>
      </w:pPr>
      <w:rPr>
        <w:rFonts w:hint="default"/>
        <w:b/>
        <w:color w:val="215C8A"/>
      </w:rPr>
    </w:lvl>
    <w:lvl w:ilvl="8">
      <w:start w:val="1"/>
      <w:numFmt w:val="decimal"/>
      <w:lvlText w:val="%1.%2.%3.%4.%5.%6.%7.%8.%9."/>
      <w:lvlJc w:val="left"/>
      <w:pPr>
        <w:ind w:left="2520" w:hanging="2520"/>
      </w:pPr>
      <w:rPr>
        <w:rFonts w:hint="default"/>
        <w:b/>
        <w:color w:val="215C8A"/>
      </w:rPr>
    </w:lvl>
  </w:abstractNum>
  <w:abstractNum w:abstractNumId="31" w15:restartNumberingAfterBreak="0">
    <w:nsid w:val="62DD10B8"/>
    <w:multiLevelType w:val="multilevel"/>
    <w:tmpl w:val="CF1015C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68607102"/>
    <w:multiLevelType w:val="multilevel"/>
    <w:tmpl w:val="5BE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D1DA2"/>
    <w:multiLevelType w:val="multilevel"/>
    <w:tmpl w:val="E922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9B5BC6"/>
    <w:multiLevelType w:val="hybridMultilevel"/>
    <w:tmpl w:val="F90CF126"/>
    <w:lvl w:ilvl="0" w:tplc="25823CF2">
      <w:numFmt w:val="bullet"/>
      <w:lvlText w:val="-"/>
      <w:lvlJc w:val="left"/>
      <w:pPr>
        <w:ind w:left="54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E2E2074"/>
    <w:multiLevelType w:val="multilevel"/>
    <w:tmpl w:val="99B2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AE0497"/>
    <w:multiLevelType w:val="multilevel"/>
    <w:tmpl w:val="8976D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C12AD"/>
    <w:multiLevelType w:val="hybridMultilevel"/>
    <w:tmpl w:val="C16C00DE"/>
    <w:lvl w:ilvl="0" w:tplc="A3883618">
      <w:start w:val="1"/>
      <w:numFmt w:val="decimal"/>
      <w:lvlText w:val="%1)"/>
      <w:lvlJc w:val="left"/>
      <w:pPr>
        <w:ind w:left="360" w:hanging="360"/>
      </w:pPr>
      <w:rPr>
        <w:rFonts w:hint="default"/>
        <w:b/>
        <w:bCs/>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4"/>
  </w:num>
  <w:num w:numId="2">
    <w:abstractNumId w:val="31"/>
  </w:num>
  <w:num w:numId="3">
    <w:abstractNumId w:val="24"/>
  </w:num>
  <w:num w:numId="4">
    <w:abstractNumId w:val="6"/>
  </w:num>
  <w:num w:numId="5">
    <w:abstractNumId w:val="20"/>
  </w:num>
  <w:num w:numId="6">
    <w:abstractNumId w:val="33"/>
  </w:num>
  <w:num w:numId="7">
    <w:abstractNumId w:val="34"/>
  </w:num>
  <w:num w:numId="8">
    <w:abstractNumId w:val="27"/>
  </w:num>
  <w:num w:numId="9">
    <w:abstractNumId w:val="17"/>
  </w:num>
  <w:num w:numId="10">
    <w:abstractNumId w:val="25"/>
  </w:num>
  <w:num w:numId="11">
    <w:abstractNumId w:val="35"/>
  </w:num>
  <w:num w:numId="12">
    <w:abstractNumId w:val="16"/>
  </w:num>
  <w:num w:numId="13">
    <w:abstractNumId w:val="3"/>
  </w:num>
  <w:num w:numId="14">
    <w:abstractNumId w:val="7"/>
  </w:num>
  <w:num w:numId="15">
    <w:abstractNumId w:val="36"/>
  </w:num>
  <w:num w:numId="16">
    <w:abstractNumId w:val="19"/>
  </w:num>
  <w:num w:numId="17">
    <w:abstractNumId w:val="32"/>
  </w:num>
  <w:num w:numId="18">
    <w:abstractNumId w:val="12"/>
  </w:num>
  <w:num w:numId="19">
    <w:abstractNumId w:val="2"/>
  </w:num>
  <w:num w:numId="20">
    <w:abstractNumId w:val="4"/>
  </w:num>
  <w:num w:numId="21">
    <w:abstractNumId w:val="22"/>
  </w:num>
  <w:num w:numId="22">
    <w:abstractNumId w:val="13"/>
  </w:num>
  <w:num w:numId="23">
    <w:abstractNumId w:val="29"/>
  </w:num>
  <w:num w:numId="24">
    <w:abstractNumId w:val="8"/>
  </w:num>
  <w:num w:numId="25">
    <w:abstractNumId w:val="15"/>
  </w:num>
  <w:num w:numId="26">
    <w:abstractNumId w:val="30"/>
  </w:num>
  <w:num w:numId="27">
    <w:abstractNumId w:val="37"/>
  </w:num>
  <w:num w:numId="28">
    <w:abstractNumId w:val="18"/>
  </w:num>
  <w:num w:numId="29">
    <w:abstractNumId w:val="0"/>
  </w:num>
  <w:num w:numId="30">
    <w:abstractNumId w:val="28"/>
  </w:num>
  <w:num w:numId="31">
    <w:abstractNumId w:val="10"/>
  </w:num>
  <w:num w:numId="32">
    <w:abstractNumId w:val="1"/>
  </w:num>
  <w:num w:numId="33">
    <w:abstractNumId w:val="21"/>
  </w:num>
  <w:num w:numId="34">
    <w:abstractNumId w:val="11"/>
  </w:num>
  <w:num w:numId="35">
    <w:abstractNumId w:val="5"/>
  </w:num>
  <w:num w:numId="36">
    <w:abstractNumId w:val="23"/>
  </w:num>
  <w:num w:numId="37">
    <w:abstractNumId w:val="9"/>
  </w:num>
  <w:num w:numId="3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83"/>
    <w:rsid w:val="00003AA8"/>
    <w:rsid w:val="000422CD"/>
    <w:rsid w:val="000707C5"/>
    <w:rsid w:val="0007630E"/>
    <w:rsid w:val="00097F86"/>
    <w:rsid w:val="000A56C8"/>
    <w:rsid w:val="000D0BC4"/>
    <w:rsid w:val="000D1CD2"/>
    <w:rsid w:val="000F0A0C"/>
    <w:rsid w:val="00100210"/>
    <w:rsid w:val="00111811"/>
    <w:rsid w:val="0011326C"/>
    <w:rsid w:val="0011528D"/>
    <w:rsid w:val="0012787C"/>
    <w:rsid w:val="00132A6F"/>
    <w:rsid w:val="00132D63"/>
    <w:rsid w:val="0013460F"/>
    <w:rsid w:val="00137725"/>
    <w:rsid w:val="001532AC"/>
    <w:rsid w:val="0015602D"/>
    <w:rsid w:val="001566E5"/>
    <w:rsid w:val="00157C9A"/>
    <w:rsid w:val="00167146"/>
    <w:rsid w:val="00170EA6"/>
    <w:rsid w:val="00191CE4"/>
    <w:rsid w:val="001A7741"/>
    <w:rsid w:val="001B1415"/>
    <w:rsid w:val="001C6E83"/>
    <w:rsid w:val="001D7F74"/>
    <w:rsid w:val="001E3FA9"/>
    <w:rsid w:val="00201CFC"/>
    <w:rsid w:val="00212304"/>
    <w:rsid w:val="002128D8"/>
    <w:rsid w:val="0022588B"/>
    <w:rsid w:val="002440A3"/>
    <w:rsid w:val="00247780"/>
    <w:rsid w:val="0025427A"/>
    <w:rsid w:val="0028155E"/>
    <w:rsid w:val="00284C6D"/>
    <w:rsid w:val="0028566C"/>
    <w:rsid w:val="00290709"/>
    <w:rsid w:val="00292065"/>
    <w:rsid w:val="00301F5E"/>
    <w:rsid w:val="00302744"/>
    <w:rsid w:val="00331818"/>
    <w:rsid w:val="003521E5"/>
    <w:rsid w:val="00352DDF"/>
    <w:rsid w:val="003679F6"/>
    <w:rsid w:val="00370E1F"/>
    <w:rsid w:val="00375793"/>
    <w:rsid w:val="0038387A"/>
    <w:rsid w:val="003A2118"/>
    <w:rsid w:val="003A3123"/>
    <w:rsid w:val="003B0019"/>
    <w:rsid w:val="00405D97"/>
    <w:rsid w:val="00413797"/>
    <w:rsid w:val="00421C5F"/>
    <w:rsid w:val="004224F0"/>
    <w:rsid w:val="004254C1"/>
    <w:rsid w:val="00425CB1"/>
    <w:rsid w:val="00453F17"/>
    <w:rsid w:val="00457259"/>
    <w:rsid w:val="0046159C"/>
    <w:rsid w:val="00463C92"/>
    <w:rsid w:val="00477BE0"/>
    <w:rsid w:val="00492FF3"/>
    <w:rsid w:val="004A4577"/>
    <w:rsid w:val="004A5438"/>
    <w:rsid w:val="004C15F1"/>
    <w:rsid w:val="004D01DB"/>
    <w:rsid w:val="004D2322"/>
    <w:rsid w:val="004D50E1"/>
    <w:rsid w:val="004E05F0"/>
    <w:rsid w:val="004E6B03"/>
    <w:rsid w:val="004E7E2F"/>
    <w:rsid w:val="004F4071"/>
    <w:rsid w:val="0050387C"/>
    <w:rsid w:val="00522979"/>
    <w:rsid w:val="0052573D"/>
    <w:rsid w:val="0052782A"/>
    <w:rsid w:val="00566D64"/>
    <w:rsid w:val="00570AC6"/>
    <w:rsid w:val="0057169C"/>
    <w:rsid w:val="005755C9"/>
    <w:rsid w:val="00580EC3"/>
    <w:rsid w:val="0059719B"/>
    <w:rsid w:val="005B4556"/>
    <w:rsid w:val="005F3421"/>
    <w:rsid w:val="00604F96"/>
    <w:rsid w:val="00615C53"/>
    <w:rsid w:val="00617861"/>
    <w:rsid w:val="00617C91"/>
    <w:rsid w:val="00620AFF"/>
    <w:rsid w:val="00633366"/>
    <w:rsid w:val="00642116"/>
    <w:rsid w:val="00655CC7"/>
    <w:rsid w:val="0066026B"/>
    <w:rsid w:val="006764C3"/>
    <w:rsid w:val="006A2969"/>
    <w:rsid w:val="006A44BA"/>
    <w:rsid w:val="006B1A36"/>
    <w:rsid w:val="006C2E7A"/>
    <w:rsid w:val="006E0D2A"/>
    <w:rsid w:val="006E655B"/>
    <w:rsid w:val="006E67B1"/>
    <w:rsid w:val="00720234"/>
    <w:rsid w:val="0072365E"/>
    <w:rsid w:val="00732105"/>
    <w:rsid w:val="0073782B"/>
    <w:rsid w:val="00737A6C"/>
    <w:rsid w:val="00740027"/>
    <w:rsid w:val="007412AC"/>
    <w:rsid w:val="00756318"/>
    <w:rsid w:val="00782ADD"/>
    <w:rsid w:val="00786D46"/>
    <w:rsid w:val="00791D4C"/>
    <w:rsid w:val="00795D03"/>
    <w:rsid w:val="007A3C52"/>
    <w:rsid w:val="007B28A5"/>
    <w:rsid w:val="007C44AB"/>
    <w:rsid w:val="007C73B8"/>
    <w:rsid w:val="007E3947"/>
    <w:rsid w:val="007E5B9D"/>
    <w:rsid w:val="008044E6"/>
    <w:rsid w:val="00810A23"/>
    <w:rsid w:val="00817E8E"/>
    <w:rsid w:val="008243A1"/>
    <w:rsid w:val="00832183"/>
    <w:rsid w:val="008513D1"/>
    <w:rsid w:val="0085181D"/>
    <w:rsid w:val="00857AB9"/>
    <w:rsid w:val="00884422"/>
    <w:rsid w:val="00886159"/>
    <w:rsid w:val="00887627"/>
    <w:rsid w:val="008943DB"/>
    <w:rsid w:val="008A5F19"/>
    <w:rsid w:val="008B0C6A"/>
    <w:rsid w:val="008D3E32"/>
    <w:rsid w:val="008E4113"/>
    <w:rsid w:val="008E79E4"/>
    <w:rsid w:val="008F192C"/>
    <w:rsid w:val="00904CED"/>
    <w:rsid w:val="00907722"/>
    <w:rsid w:val="00922B1D"/>
    <w:rsid w:val="0093595A"/>
    <w:rsid w:val="009474EE"/>
    <w:rsid w:val="0095384C"/>
    <w:rsid w:val="00956851"/>
    <w:rsid w:val="00964555"/>
    <w:rsid w:val="009717B5"/>
    <w:rsid w:val="009849F8"/>
    <w:rsid w:val="009A42DA"/>
    <w:rsid w:val="009C1458"/>
    <w:rsid w:val="009C7E58"/>
    <w:rsid w:val="009D5A35"/>
    <w:rsid w:val="009E268E"/>
    <w:rsid w:val="00A05890"/>
    <w:rsid w:val="00A10E81"/>
    <w:rsid w:val="00A30563"/>
    <w:rsid w:val="00A31CF3"/>
    <w:rsid w:val="00A32C1B"/>
    <w:rsid w:val="00A579D8"/>
    <w:rsid w:val="00A57C19"/>
    <w:rsid w:val="00A60329"/>
    <w:rsid w:val="00A60D7A"/>
    <w:rsid w:val="00A63638"/>
    <w:rsid w:val="00A70214"/>
    <w:rsid w:val="00A750D9"/>
    <w:rsid w:val="00A81EB3"/>
    <w:rsid w:val="00A86DBA"/>
    <w:rsid w:val="00A906E0"/>
    <w:rsid w:val="00AA5747"/>
    <w:rsid w:val="00AB525E"/>
    <w:rsid w:val="00AE5DF0"/>
    <w:rsid w:val="00B07240"/>
    <w:rsid w:val="00B22C76"/>
    <w:rsid w:val="00B3440D"/>
    <w:rsid w:val="00B37574"/>
    <w:rsid w:val="00B40DB7"/>
    <w:rsid w:val="00B61423"/>
    <w:rsid w:val="00B62923"/>
    <w:rsid w:val="00B70508"/>
    <w:rsid w:val="00B73E07"/>
    <w:rsid w:val="00B808AD"/>
    <w:rsid w:val="00B822C3"/>
    <w:rsid w:val="00B9785D"/>
    <w:rsid w:val="00BB0C1C"/>
    <w:rsid w:val="00BD57F5"/>
    <w:rsid w:val="00C00EAF"/>
    <w:rsid w:val="00C10846"/>
    <w:rsid w:val="00C20183"/>
    <w:rsid w:val="00C22D64"/>
    <w:rsid w:val="00C2553B"/>
    <w:rsid w:val="00C572C6"/>
    <w:rsid w:val="00C66E33"/>
    <w:rsid w:val="00C73DFF"/>
    <w:rsid w:val="00C8011D"/>
    <w:rsid w:val="00C8591C"/>
    <w:rsid w:val="00C94021"/>
    <w:rsid w:val="00CA208C"/>
    <w:rsid w:val="00CA27A0"/>
    <w:rsid w:val="00CA4186"/>
    <w:rsid w:val="00CB6BD7"/>
    <w:rsid w:val="00CC163B"/>
    <w:rsid w:val="00CE1762"/>
    <w:rsid w:val="00CE4B40"/>
    <w:rsid w:val="00CF0595"/>
    <w:rsid w:val="00CF1C93"/>
    <w:rsid w:val="00CF42CE"/>
    <w:rsid w:val="00CF7775"/>
    <w:rsid w:val="00D11FF0"/>
    <w:rsid w:val="00D155C6"/>
    <w:rsid w:val="00D15EC6"/>
    <w:rsid w:val="00D23AF2"/>
    <w:rsid w:val="00D2722B"/>
    <w:rsid w:val="00D30F06"/>
    <w:rsid w:val="00D3193B"/>
    <w:rsid w:val="00D32C3D"/>
    <w:rsid w:val="00D33CB2"/>
    <w:rsid w:val="00D44C71"/>
    <w:rsid w:val="00D52667"/>
    <w:rsid w:val="00D555BA"/>
    <w:rsid w:val="00D64636"/>
    <w:rsid w:val="00D742E4"/>
    <w:rsid w:val="00D76F1A"/>
    <w:rsid w:val="00D806D4"/>
    <w:rsid w:val="00D95292"/>
    <w:rsid w:val="00DB5E54"/>
    <w:rsid w:val="00DC3A1F"/>
    <w:rsid w:val="00DE7B9A"/>
    <w:rsid w:val="00DF7B7C"/>
    <w:rsid w:val="00E01CC4"/>
    <w:rsid w:val="00E30FA5"/>
    <w:rsid w:val="00E40190"/>
    <w:rsid w:val="00E42641"/>
    <w:rsid w:val="00E5318D"/>
    <w:rsid w:val="00E67AE1"/>
    <w:rsid w:val="00E71D9B"/>
    <w:rsid w:val="00E77658"/>
    <w:rsid w:val="00E84038"/>
    <w:rsid w:val="00ED0D24"/>
    <w:rsid w:val="00ED1D58"/>
    <w:rsid w:val="00ED60E0"/>
    <w:rsid w:val="00EE4F13"/>
    <w:rsid w:val="00EF1887"/>
    <w:rsid w:val="00EF6119"/>
    <w:rsid w:val="00F0035A"/>
    <w:rsid w:val="00F123AE"/>
    <w:rsid w:val="00F1349E"/>
    <w:rsid w:val="00F17510"/>
    <w:rsid w:val="00F45517"/>
    <w:rsid w:val="00F53D85"/>
    <w:rsid w:val="00F64F97"/>
    <w:rsid w:val="00F65202"/>
    <w:rsid w:val="00F7077D"/>
    <w:rsid w:val="00FA28AA"/>
    <w:rsid w:val="00FC203D"/>
    <w:rsid w:val="00FD3F32"/>
    <w:rsid w:val="00FE03FF"/>
    <w:rsid w:val="00FE38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CF216"/>
  <w15:chartTrackingRefBased/>
  <w15:docId w15:val="{98C22A10-2580-4614-8C45-4CEE7104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2183"/>
    <w:pPr>
      <w:spacing w:before="120" w:after="240" w:line="259" w:lineRule="auto"/>
      <w:jc w:val="both"/>
    </w:pPr>
    <w:rPr>
      <w:rFonts w:eastAsiaTheme="minorEastAsia"/>
      <w:lang w:val="en-US"/>
    </w:rPr>
  </w:style>
  <w:style w:type="paragraph" w:styleId="Heading1">
    <w:name w:val="heading 1"/>
    <w:basedOn w:val="Normal"/>
    <w:next w:val="Normal"/>
    <w:link w:val="Heading1Char"/>
    <w:uiPriority w:val="9"/>
    <w:qFormat/>
    <w:rsid w:val="001671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61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23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A28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832183"/>
    <w:pPr>
      <w:spacing w:before="100" w:beforeAutospacing="1" w:after="100" w:afterAutospacing="1" w:line="240" w:lineRule="auto"/>
      <w:jc w:val="left"/>
      <w:outlineLvl w:val="4"/>
    </w:pPr>
    <w:rPr>
      <w:rFonts w:ascii="Times New Roman" w:eastAsia="Times New Roman" w:hAnsi="Times New Roman" w:cs="Times New Roman"/>
      <w:b/>
      <w:bCs/>
      <w:sz w:val="20"/>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32183"/>
    <w:rPr>
      <w:color w:val="0563C1" w:themeColor="hyperlink"/>
      <w:u w:val="single"/>
    </w:rPr>
  </w:style>
  <w:style w:type="character" w:customStyle="1" w:styleId="Heading5Char">
    <w:name w:val="Heading 5 Char"/>
    <w:basedOn w:val="DefaultParagraphFont"/>
    <w:link w:val="Heading5"/>
    <w:uiPriority w:val="9"/>
    <w:rsid w:val="00832183"/>
    <w:rPr>
      <w:rFonts w:ascii="Times New Roman" w:eastAsia="Times New Roman" w:hAnsi="Times New Roman" w:cs="Times New Roman"/>
      <w:b/>
      <w:bCs/>
      <w:sz w:val="20"/>
      <w:szCs w:val="20"/>
      <w:lang w:eastAsia="en-NZ"/>
    </w:rPr>
  </w:style>
  <w:style w:type="paragraph" w:customStyle="1" w:styleId="card-text">
    <w:name w:val="card-text"/>
    <w:basedOn w:val="Normal"/>
    <w:rsid w:val="00832183"/>
    <w:pPr>
      <w:spacing w:before="100" w:beforeAutospacing="1" w:after="100" w:afterAutospacing="1" w:line="240" w:lineRule="auto"/>
      <w:jc w:val="left"/>
    </w:pPr>
    <w:rPr>
      <w:rFonts w:ascii="Times New Roman" w:eastAsia="Times New Roman" w:hAnsi="Times New Roman" w:cs="Times New Roman"/>
      <w:sz w:val="24"/>
      <w:szCs w:val="24"/>
      <w:lang w:val="en-NZ" w:eastAsia="en-NZ"/>
    </w:rPr>
  </w:style>
  <w:style w:type="paragraph" w:styleId="NormalWeb">
    <w:name w:val="Normal (Web)"/>
    <w:basedOn w:val="Normal"/>
    <w:uiPriority w:val="99"/>
    <w:unhideWhenUsed/>
    <w:rsid w:val="00D30F06"/>
    <w:pPr>
      <w:spacing w:before="100" w:beforeAutospacing="1" w:after="100" w:afterAutospacing="1" w:line="240" w:lineRule="auto"/>
      <w:jc w:val="left"/>
    </w:pPr>
    <w:rPr>
      <w:rFonts w:ascii="Times New Roman" w:eastAsia="Times New Roman" w:hAnsi="Times New Roman" w:cs="Times New Roman"/>
      <w:sz w:val="24"/>
      <w:szCs w:val="24"/>
      <w:lang w:val="en-NZ" w:eastAsia="en-NZ"/>
    </w:rPr>
  </w:style>
  <w:style w:type="paragraph" w:styleId="ListParagraph">
    <w:name w:val="List Paragraph"/>
    <w:basedOn w:val="Normal"/>
    <w:uiPriority w:val="34"/>
    <w:qFormat/>
    <w:rsid w:val="00D30F06"/>
    <w:pPr>
      <w:ind w:left="720"/>
      <w:contextualSpacing/>
    </w:pPr>
  </w:style>
  <w:style w:type="paragraph" w:styleId="Header">
    <w:name w:val="header"/>
    <w:basedOn w:val="Normal"/>
    <w:link w:val="HeaderChar"/>
    <w:uiPriority w:val="99"/>
    <w:unhideWhenUsed/>
    <w:rsid w:val="00D30F0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30F06"/>
    <w:rPr>
      <w:rFonts w:eastAsiaTheme="minorEastAsia"/>
      <w:lang w:val="en-US"/>
    </w:rPr>
  </w:style>
  <w:style w:type="paragraph" w:styleId="Footer">
    <w:name w:val="footer"/>
    <w:basedOn w:val="Normal"/>
    <w:link w:val="FooterChar"/>
    <w:uiPriority w:val="99"/>
    <w:unhideWhenUsed/>
    <w:rsid w:val="00D30F0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30F06"/>
    <w:rPr>
      <w:rFonts w:eastAsiaTheme="minorEastAsia"/>
      <w:lang w:val="en-US"/>
    </w:rPr>
  </w:style>
  <w:style w:type="character" w:customStyle="1" w:styleId="Heading1Char">
    <w:name w:val="Heading 1 Char"/>
    <w:basedOn w:val="DefaultParagraphFont"/>
    <w:link w:val="Heading1"/>
    <w:uiPriority w:val="9"/>
    <w:rsid w:val="00167146"/>
    <w:rPr>
      <w:rFonts w:asciiTheme="majorHAnsi" w:eastAsiaTheme="majorEastAsia" w:hAnsiTheme="majorHAnsi" w:cstheme="majorBidi"/>
      <w:color w:val="2F5496" w:themeColor="accent1" w:themeShade="BF"/>
      <w:sz w:val="32"/>
      <w:szCs w:val="32"/>
      <w:lang w:val="en-US"/>
    </w:rPr>
  </w:style>
  <w:style w:type="character" w:customStyle="1" w:styleId="dataaggiornamento">
    <w:name w:val="dataaggiornamento"/>
    <w:basedOn w:val="DefaultParagraphFont"/>
    <w:rsid w:val="00B40DB7"/>
  </w:style>
  <w:style w:type="character" w:styleId="UnresolvedMention">
    <w:name w:val="Unresolved Mention"/>
    <w:basedOn w:val="DefaultParagraphFont"/>
    <w:uiPriority w:val="99"/>
    <w:semiHidden/>
    <w:unhideWhenUsed/>
    <w:rsid w:val="005F3421"/>
    <w:rPr>
      <w:color w:val="605E5C"/>
      <w:shd w:val="clear" w:color="auto" w:fill="E1DFDD"/>
    </w:rPr>
  </w:style>
  <w:style w:type="character" w:styleId="Strong">
    <w:name w:val="Strong"/>
    <w:basedOn w:val="DefaultParagraphFont"/>
    <w:uiPriority w:val="22"/>
    <w:qFormat/>
    <w:rsid w:val="005B4556"/>
    <w:rPr>
      <w:b/>
      <w:bCs/>
    </w:rPr>
  </w:style>
  <w:style w:type="character" w:customStyle="1" w:styleId="Heading3Char">
    <w:name w:val="Heading 3 Char"/>
    <w:basedOn w:val="DefaultParagraphFont"/>
    <w:link w:val="Heading3"/>
    <w:uiPriority w:val="9"/>
    <w:semiHidden/>
    <w:rsid w:val="004D2322"/>
    <w:rPr>
      <w:rFonts w:asciiTheme="majorHAnsi" w:eastAsiaTheme="majorEastAsia" w:hAnsiTheme="majorHAnsi" w:cstheme="majorBidi"/>
      <w:color w:val="1F3763" w:themeColor="accent1" w:themeShade="7F"/>
      <w:sz w:val="24"/>
      <w:szCs w:val="24"/>
      <w:lang w:val="en-US"/>
    </w:rPr>
  </w:style>
  <w:style w:type="paragraph" w:styleId="FootnoteText">
    <w:name w:val="footnote text"/>
    <w:basedOn w:val="Normal"/>
    <w:link w:val="FootnoteTextChar"/>
    <w:uiPriority w:val="99"/>
    <w:semiHidden/>
    <w:unhideWhenUsed/>
    <w:rsid w:val="00405D9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05D97"/>
    <w:rPr>
      <w:rFonts w:eastAsiaTheme="minorEastAsia"/>
      <w:sz w:val="20"/>
      <w:szCs w:val="20"/>
      <w:lang w:val="en-US"/>
    </w:rPr>
  </w:style>
  <w:style w:type="character" w:styleId="FootnoteReference">
    <w:name w:val="footnote reference"/>
    <w:basedOn w:val="DefaultParagraphFont"/>
    <w:uiPriority w:val="99"/>
    <w:semiHidden/>
    <w:unhideWhenUsed/>
    <w:rsid w:val="00405D97"/>
    <w:rPr>
      <w:vertAlign w:val="superscript"/>
    </w:rPr>
  </w:style>
  <w:style w:type="character" w:customStyle="1" w:styleId="Heading4Char">
    <w:name w:val="Heading 4 Char"/>
    <w:basedOn w:val="DefaultParagraphFont"/>
    <w:link w:val="Heading4"/>
    <w:uiPriority w:val="9"/>
    <w:semiHidden/>
    <w:rsid w:val="00FA28AA"/>
    <w:rPr>
      <w:rFonts w:asciiTheme="majorHAnsi" w:eastAsiaTheme="majorEastAsia" w:hAnsiTheme="majorHAnsi" w:cstheme="majorBidi"/>
      <w:i/>
      <w:iCs/>
      <w:color w:val="2F5496" w:themeColor="accent1" w:themeShade="BF"/>
      <w:lang w:val="en-US"/>
    </w:rPr>
  </w:style>
  <w:style w:type="numbering" w:customStyle="1" w:styleId="CurrentList1">
    <w:name w:val="Current List1"/>
    <w:uiPriority w:val="99"/>
    <w:rsid w:val="00425CB1"/>
    <w:pPr>
      <w:numPr>
        <w:numId w:val="13"/>
      </w:numPr>
    </w:pPr>
  </w:style>
  <w:style w:type="character" w:styleId="Emphasis">
    <w:name w:val="Emphasis"/>
    <w:basedOn w:val="DefaultParagraphFont"/>
    <w:uiPriority w:val="20"/>
    <w:qFormat/>
    <w:rsid w:val="0052573D"/>
    <w:rPr>
      <w:i/>
      <w:iCs/>
    </w:rPr>
  </w:style>
  <w:style w:type="paragraph" w:customStyle="1" w:styleId="Caption1">
    <w:name w:val="Caption1"/>
    <w:basedOn w:val="Normal"/>
    <w:rsid w:val="001C6E83"/>
    <w:pPr>
      <w:spacing w:before="100" w:beforeAutospacing="1" w:after="100" w:afterAutospacing="1" w:line="240" w:lineRule="auto"/>
      <w:jc w:val="left"/>
    </w:pPr>
    <w:rPr>
      <w:rFonts w:ascii="Times New Roman" w:eastAsia="Times New Roman" w:hAnsi="Times New Roman" w:cs="Times New Roman"/>
      <w:sz w:val="24"/>
      <w:szCs w:val="24"/>
      <w:lang w:val="en-NZ" w:eastAsia="en-NZ"/>
    </w:rPr>
  </w:style>
  <w:style w:type="character" w:customStyle="1" w:styleId="Heading2Char">
    <w:name w:val="Heading 2 Char"/>
    <w:basedOn w:val="DefaultParagraphFont"/>
    <w:link w:val="Heading2"/>
    <w:uiPriority w:val="9"/>
    <w:rsid w:val="00886159"/>
    <w:rPr>
      <w:rFonts w:asciiTheme="majorHAnsi" w:eastAsiaTheme="majorEastAsia" w:hAnsiTheme="majorHAnsi" w:cstheme="majorBidi"/>
      <w:color w:val="2F5496" w:themeColor="accent1" w:themeShade="BF"/>
      <w:sz w:val="26"/>
      <w:szCs w:val="26"/>
      <w:lang w:val="en-US"/>
    </w:rPr>
  </w:style>
  <w:style w:type="paragraph" w:styleId="NoSpacing">
    <w:name w:val="No Spacing"/>
    <w:uiPriority w:val="1"/>
    <w:qFormat/>
    <w:rsid w:val="0028155E"/>
    <w:pPr>
      <w:spacing w:after="0" w:line="240" w:lineRule="auto"/>
      <w:jc w:val="both"/>
    </w:pPr>
    <w:rPr>
      <w:rFonts w:eastAsiaTheme="minorEastAsia"/>
      <w:lang w:val="en-US"/>
    </w:rPr>
  </w:style>
  <w:style w:type="character" w:styleId="FollowedHyperlink">
    <w:name w:val="FollowedHyperlink"/>
    <w:basedOn w:val="DefaultParagraphFont"/>
    <w:uiPriority w:val="99"/>
    <w:semiHidden/>
    <w:unhideWhenUsed/>
    <w:rsid w:val="005755C9"/>
    <w:rPr>
      <w:color w:val="954F72" w:themeColor="followedHyperlink"/>
      <w:u w:val="single"/>
    </w:rPr>
  </w:style>
  <w:style w:type="paragraph" w:customStyle="1" w:styleId="css-51dbfs">
    <w:name w:val="css-51dbfs"/>
    <w:basedOn w:val="Normal"/>
    <w:rsid w:val="00D64636"/>
    <w:pPr>
      <w:spacing w:before="100" w:beforeAutospacing="1" w:after="100" w:afterAutospacing="1" w:line="240" w:lineRule="auto"/>
      <w:jc w:val="left"/>
    </w:pPr>
    <w:rPr>
      <w:rFonts w:ascii="Times New Roman" w:eastAsia="Times New Roman" w:hAnsi="Times New Roman" w:cs="Times New Roman"/>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2955">
      <w:bodyDiv w:val="1"/>
      <w:marLeft w:val="0"/>
      <w:marRight w:val="0"/>
      <w:marTop w:val="0"/>
      <w:marBottom w:val="0"/>
      <w:divBdr>
        <w:top w:val="none" w:sz="0" w:space="0" w:color="auto"/>
        <w:left w:val="none" w:sz="0" w:space="0" w:color="auto"/>
        <w:bottom w:val="none" w:sz="0" w:space="0" w:color="auto"/>
        <w:right w:val="none" w:sz="0" w:space="0" w:color="auto"/>
      </w:divBdr>
    </w:div>
    <w:div w:id="73404193">
      <w:bodyDiv w:val="1"/>
      <w:marLeft w:val="0"/>
      <w:marRight w:val="0"/>
      <w:marTop w:val="0"/>
      <w:marBottom w:val="0"/>
      <w:divBdr>
        <w:top w:val="none" w:sz="0" w:space="0" w:color="auto"/>
        <w:left w:val="none" w:sz="0" w:space="0" w:color="auto"/>
        <w:bottom w:val="none" w:sz="0" w:space="0" w:color="auto"/>
        <w:right w:val="none" w:sz="0" w:space="0" w:color="auto"/>
      </w:divBdr>
    </w:div>
    <w:div w:id="128087371">
      <w:bodyDiv w:val="1"/>
      <w:marLeft w:val="0"/>
      <w:marRight w:val="0"/>
      <w:marTop w:val="0"/>
      <w:marBottom w:val="0"/>
      <w:divBdr>
        <w:top w:val="none" w:sz="0" w:space="0" w:color="auto"/>
        <w:left w:val="none" w:sz="0" w:space="0" w:color="auto"/>
        <w:bottom w:val="none" w:sz="0" w:space="0" w:color="auto"/>
        <w:right w:val="none" w:sz="0" w:space="0" w:color="auto"/>
      </w:divBdr>
    </w:div>
    <w:div w:id="137306427">
      <w:bodyDiv w:val="1"/>
      <w:marLeft w:val="0"/>
      <w:marRight w:val="0"/>
      <w:marTop w:val="0"/>
      <w:marBottom w:val="0"/>
      <w:divBdr>
        <w:top w:val="none" w:sz="0" w:space="0" w:color="auto"/>
        <w:left w:val="none" w:sz="0" w:space="0" w:color="auto"/>
        <w:bottom w:val="none" w:sz="0" w:space="0" w:color="auto"/>
        <w:right w:val="none" w:sz="0" w:space="0" w:color="auto"/>
      </w:divBdr>
    </w:div>
    <w:div w:id="211774702">
      <w:bodyDiv w:val="1"/>
      <w:marLeft w:val="0"/>
      <w:marRight w:val="0"/>
      <w:marTop w:val="0"/>
      <w:marBottom w:val="0"/>
      <w:divBdr>
        <w:top w:val="none" w:sz="0" w:space="0" w:color="auto"/>
        <w:left w:val="none" w:sz="0" w:space="0" w:color="auto"/>
        <w:bottom w:val="none" w:sz="0" w:space="0" w:color="auto"/>
        <w:right w:val="none" w:sz="0" w:space="0" w:color="auto"/>
      </w:divBdr>
    </w:div>
    <w:div w:id="217787196">
      <w:bodyDiv w:val="1"/>
      <w:marLeft w:val="0"/>
      <w:marRight w:val="0"/>
      <w:marTop w:val="0"/>
      <w:marBottom w:val="0"/>
      <w:divBdr>
        <w:top w:val="none" w:sz="0" w:space="0" w:color="auto"/>
        <w:left w:val="none" w:sz="0" w:space="0" w:color="auto"/>
        <w:bottom w:val="none" w:sz="0" w:space="0" w:color="auto"/>
        <w:right w:val="none" w:sz="0" w:space="0" w:color="auto"/>
      </w:divBdr>
    </w:div>
    <w:div w:id="259993200">
      <w:bodyDiv w:val="1"/>
      <w:marLeft w:val="0"/>
      <w:marRight w:val="0"/>
      <w:marTop w:val="0"/>
      <w:marBottom w:val="0"/>
      <w:divBdr>
        <w:top w:val="none" w:sz="0" w:space="0" w:color="auto"/>
        <w:left w:val="none" w:sz="0" w:space="0" w:color="auto"/>
        <w:bottom w:val="none" w:sz="0" w:space="0" w:color="auto"/>
        <w:right w:val="none" w:sz="0" w:space="0" w:color="auto"/>
      </w:divBdr>
    </w:div>
    <w:div w:id="285504110">
      <w:bodyDiv w:val="1"/>
      <w:marLeft w:val="0"/>
      <w:marRight w:val="0"/>
      <w:marTop w:val="0"/>
      <w:marBottom w:val="0"/>
      <w:divBdr>
        <w:top w:val="none" w:sz="0" w:space="0" w:color="auto"/>
        <w:left w:val="none" w:sz="0" w:space="0" w:color="auto"/>
        <w:bottom w:val="none" w:sz="0" w:space="0" w:color="auto"/>
        <w:right w:val="none" w:sz="0" w:space="0" w:color="auto"/>
      </w:divBdr>
    </w:div>
    <w:div w:id="373045252">
      <w:bodyDiv w:val="1"/>
      <w:marLeft w:val="0"/>
      <w:marRight w:val="0"/>
      <w:marTop w:val="0"/>
      <w:marBottom w:val="0"/>
      <w:divBdr>
        <w:top w:val="none" w:sz="0" w:space="0" w:color="auto"/>
        <w:left w:val="none" w:sz="0" w:space="0" w:color="auto"/>
        <w:bottom w:val="none" w:sz="0" w:space="0" w:color="auto"/>
        <w:right w:val="none" w:sz="0" w:space="0" w:color="auto"/>
      </w:divBdr>
    </w:div>
    <w:div w:id="424763103">
      <w:bodyDiv w:val="1"/>
      <w:marLeft w:val="0"/>
      <w:marRight w:val="0"/>
      <w:marTop w:val="0"/>
      <w:marBottom w:val="0"/>
      <w:divBdr>
        <w:top w:val="none" w:sz="0" w:space="0" w:color="auto"/>
        <w:left w:val="none" w:sz="0" w:space="0" w:color="auto"/>
        <w:bottom w:val="none" w:sz="0" w:space="0" w:color="auto"/>
        <w:right w:val="none" w:sz="0" w:space="0" w:color="auto"/>
      </w:divBdr>
    </w:div>
    <w:div w:id="431048227">
      <w:bodyDiv w:val="1"/>
      <w:marLeft w:val="0"/>
      <w:marRight w:val="0"/>
      <w:marTop w:val="0"/>
      <w:marBottom w:val="0"/>
      <w:divBdr>
        <w:top w:val="none" w:sz="0" w:space="0" w:color="auto"/>
        <w:left w:val="none" w:sz="0" w:space="0" w:color="auto"/>
        <w:bottom w:val="none" w:sz="0" w:space="0" w:color="auto"/>
        <w:right w:val="none" w:sz="0" w:space="0" w:color="auto"/>
      </w:divBdr>
    </w:div>
    <w:div w:id="449249599">
      <w:bodyDiv w:val="1"/>
      <w:marLeft w:val="0"/>
      <w:marRight w:val="0"/>
      <w:marTop w:val="0"/>
      <w:marBottom w:val="0"/>
      <w:divBdr>
        <w:top w:val="none" w:sz="0" w:space="0" w:color="auto"/>
        <w:left w:val="none" w:sz="0" w:space="0" w:color="auto"/>
        <w:bottom w:val="none" w:sz="0" w:space="0" w:color="auto"/>
        <w:right w:val="none" w:sz="0" w:space="0" w:color="auto"/>
      </w:divBdr>
    </w:div>
    <w:div w:id="488251605">
      <w:bodyDiv w:val="1"/>
      <w:marLeft w:val="0"/>
      <w:marRight w:val="0"/>
      <w:marTop w:val="0"/>
      <w:marBottom w:val="0"/>
      <w:divBdr>
        <w:top w:val="none" w:sz="0" w:space="0" w:color="auto"/>
        <w:left w:val="none" w:sz="0" w:space="0" w:color="auto"/>
        <w:bottom w:val="none" w:sz="0" w:space="0" w:color="auto"/>
        <w:right w:val="none" w:sz="0" w:space="0" w:color="auto"/>
      </w:divBdr>
      <w:divsChild>
        <w:div w:id="2136092519">
          <w:marLeft w:val="0"/>
          <w:marRight w:val="0"/>
          <w:marTop w:val="0"/>
          <w:marBottom w:val="0"/>
          <w:divBdr>
            <w:top w:val="single" w:sz="2" w:space="0" w:color="E2E8F0"/>
            <w:left w:val="single" w:sz="2" w:space="0" w:color="E2E8F0"/>
            <w:bottom w:val="single" w:sz="2" w:space="0" w:color="E2E8F0"/>
            <w:right w:val="single" w:sz="2" w:space="0" w:color="E2E8F0"/>
          </w:divBdr>
          <w:divsChild>
            <w:div w:id="2127190512">
              <w:marLeft w:val="0"/>
              <w:marRight w:val="0"/>
              <w:marTop w:val="0"/>
              <w:marBottom w:val="0"/>
              <w:divBdr>
                <w:top w:val="single" w:sz="2" w:space="0" w:color="E2E8F0"/>
                <w:left w:val="single" w:sz="2" w:space="0" w:color="E2E8F0"/>
                <w:bottom w:val="single" w:sz="2" w:space="0" w:color="E2E8F0"/>
                <w:right w:val="single" w:sz="2" w:space="0" w:color="E2E8F0"/>
              </w:divBdr>
              <w:divsChild>
                <w:div w:id="1065958267">
                  <w:marLeft w:val="-180"/>
                  <w:marRight w:val="-180"/>
                  <w:marTop w:val="0"/>
                  <w:marBottom w:val="0"/>
                  <w:divBdr>
                    <w:top w:val="single" w:sz="2" w:space="0" w:color="E2E8F0"/>
                    <w:left w:val="single" w:sz="2" w:space="0" w:color="E2E8F0"/>
                    <w:bottom w:val="single" w:sz="2" w:space="0" w:color="E2E8F0"/>
                    <w:right w:val="single" w:sz="2" w:space="0" w:color="E2E8F0"/>
                  </w:divBdr>
                  <w:divsChild>
                    <w:div w:id="1433629539">
                      <w:marLeft w:val="0"/>
                      <w:marRight w:val="0"/>
                      <w:marTop w:val="0"/>
                      <w:marBottom w:val="0"/>
                      <w:divBdr>
                        <w:top w:val="single" w:sz="2" w:space="0" w:color="E2E8F0"/>
                        <w:left w:val="single" w:sz="2" w:space="9" w:color="E2E8F0"/>
                        <w:bottom w:val="single" w:sz="2" w:space="0" w:color="E2E8F0"/>
                        <w:right w:val="single" w:sz="2" w:space="9" w:color="E2E8F0"/>
                      </w:divBdr>
                    </w:div>
                  </w:divsChild>
                </w:div>
              </w:divsChild>
            </w:div>
          </w:divsChild>
        </w:div>
        <w:div w:id="1654797316">
          <w:marLeft w:val="0"/>
          <w:marRight w:val="0"/>
          <w:marTop w:val="0"/>
          <w:marBottom w:val="0"/>
          <w:divBdr>
            <w:top w:val="single" w:sz="2" w:space="0" w:color="E2E8F0"/>
            <w:left w:val="single" w:sz="2" w:space="0" w:color="E2E8F0"/>
            <w:bottom w:val="single" w:sz="2" w:space="0" w:color="E2E8F0"/>
            <w:right w:val="single" w:sz="2" w:space="0" w:color="E2E8F0"/>
          </w:divBdr>
          <w:divsChild>
            <w:div w:id="732116354">
              <w:marLeft w:val="0"/>
              <w:marRight w:val="0"/>
              <w:marTop w:val="0"/>
              <w:marBottom w:val="0"/>
              <w:divBdr>
                <w:top w:val="single" w:sz="2" w:space="0" w:color="E2E8F0"/>
                <w:left w:val="single" w:sz="2" w:space="0" w:color="E2E8F0"/>
                <w:bottom w:val="single" w:sz="2" w:space="0" w:color="E2E8F0"/>
                <w:right w:val="single" w:sz="2" w:space="0" w:color="E2E8F0"/>
              </w:divBdr>
              <w:divsChild>
                <w:div w:id="216597038">
                  <w:marLeft w:val="-180"/>
                  <w:marRight w:val="-180"/>
                  <w:marTop w:val="0"/>
                  <w:marBottom w:val="0"/>
                  <w:divBdr>
                    <w:top w:val="single" w:sz="2" w:space="0" w:color="E2E8F0"/>
                    <w:left w:val="single" w:sz="2" w:space="0" w:color="E2E8F0"/>
                    <w:bottom w:val="single" w:sz="2" w:space="0" w:color="E2E8F0"/>
                    <w:right w:val="single" w:sz="2" w:space="0" w:color="E2E8F0"/>
                  </w:divBdr>
                  <w:divsChild>
                    <w:div w:id="1488746021">
                      <w:marLeft w:val="0"/>
                      <w:marRight w:val="0"/>
                      <w:marTop w:val="0"/>
                      <w:marBottom w:val="0"/>
                      <w:divBdr>
                        <w:top w:val="single" w:sz="2" w:space="0" w:color="E2E8F0"/>
                        <w:left w:val="single" w:sz="2" w:space="9" w:color="E2E8F0"/>
                        <w:bottom w:val="single" w:sz="2" w:space="0" w:color="E2E8F0"/>
                        <w:right w:val="single" w:sz="2" w:space="9" w:color="E2E8F0"/>
                      </w:divBdr>
                      <w:divsChild>
                        <w:div w:id="151680796">
                          <w:marLeft w:val="0"/>
                          <w:marRight w:val="0"/>
                          <w:marTop w:val="0"/>
                          <w:marBottom w:val="0"/>
                          <w:divBdr>
                            <w:top w:val="single" w:sz="2" w:space="0" w:color="E2E8F0"/>
                            <w:left w:val="single" w:sz="2" w:space="0" w:color="E2E8F0"/>
                            <w:bottom w:val="single" w:sz="2" w:space="0" w:color="E2E8F0"/>
                            <w:right w:val="single" w:sz="2" w:space="0" w:color="E2E8F0"/>
                          </w:divBdr>
                          <w:divsChild>
                            <w:div w:id="560138491">
                              <w:marLeft w:val="0"/>
                              <w:marRight w:val="0"/>
                              <w:marTop w:val="0"/>
                              <w:marBottom w:val="0"/>
                              <w:divBdr>
                                <w:top w:val="single" w:sz="2" w:space="0" w:color="E2E8F0"/>
                                <w:left w:val="single" w:sz="2" w:space="0" w:color="E2E8F0"/>
                                <w:bottom w:val="single" w:sz="2" w:space="0" w:color="E2E8F0"/>
                                <w:right w:val="single" w:sz="2" w:space="0" w:color="E2E8F0"/>
                              </w:divBdr>
                              <w:divsChild>
                                <w:div w:id="1724866621">
                                  <w:marLeft w:val="-180"/>
                                  <w:marRight w:val="-180"/>
                                  <w:marTop w:val="0"/>
                                  <w:marBottom w:val="0"/>
                                  <w:divBdr>
                                    <w:top w:val="single" w:sz="2" w:space="0" w:color="E2E8F0"/>
                                    <w:left w:val="single" w:sz="2" w:space="0" w:color="E2E8F0"/>
                                    <w:bottom w:val="single" w:sz="2" w:space="0" w:color="E2E8F0"/>
                                    <w:right w:val="single" w:sz="2" w:space="0" w:color="E2E8F0"/>
                                  </w:divBdr>
                                  <w:divsChild>
                                    <w:div w:id="394740330">
                                      <w:marLeft w:val="0"/>
                                      <w:marRight w:val="0"/>
                                      <w:marTop w:val="0"/>
                                      <w:marBottom w:val="0"/>
                                      <w:divBdr>
                                        <w:top w:val="single" w:sz="2" w:space="0" w:color="E2E8F0"/>
                                        <w:left w:val="single" w:sz="2" w:space="9" w:color="E2E8F0"/>
                                        <w:bottom w:val="single" w:sz="2" w:space="0" w:color="E2E8F0"/>
                                        <w:right w:val="single" w:sz="2" w:space="9" w:color="E2E8F0"/>
                                      </w:divBdr>
                                    </w:div>
                                  </w:divsChild>
                                </w:div>
                              </w:divsChild>
                            </w:div>
                          </w:divsChild>
                        </w:div>
                        <w:div w:id="1175344247">
                          <w:marLeft w:val="0"/>
                          <w:marRight w:val="0"/>
                          <w:marTop w:val="0"/>
                          <w:marBottom w:val="0"/>
                          <w:divBdr>
                            <w:top w:val="single" w:sz="2" w:space="0" w:color="E2E8F0"/>
                            <w:left w:val="single" w:sz="2" w:space="0" w:color="E2E8F0"/>
                            <w:bottom w:val="single" w:sz="2" w:space="0" w:color="E2E8F0"/>
                            <w:right w:val="single" w:sz="2" w:space="0" w:color="E2E8F0"/>
                          </w:divBdr>
                          <w:divsChild>
                            <w:div w:id="1876844946">
                              <w:marLeft w:val="0"/>
                              <w:marRight w:val="0"/>
                              <w:marTop w:val="0"/>
                              <w:marBottom w:val="0"/>
                              <w:divBdr>
                                <w:top w:val="single" w:sz="2" w:space="0" w:color="E2E8F0"/>
                                <w:left w:val="single" w:sz="2" w:space="0" w:color="E2E8F0"/>
                                <w:bottom w:val="single" w:sz="2" w:space="0" w:color="E2E8F0"/>
                                <w:right w:val="single" w:sz="2" w:space="0" w:color="E2E8F0"/>
                              </w:divBdr>
                              <w:divsChild>
                                <w:div w:id="1006902093">
                                  <w:marLeft w:val="-180"/>
                                  <w:marRight w:val="-180"/>
                                  <w:marTop w:val="0"/>
                                  <w:marBottom w:val="0"/>
                                  <w:divBdr>
                                    <w:top w:val="single" w:sz="2" w:space="0" w:color="E2E8F0"/>
                                    <w:left w:val="single" w:sz="2" w:space="0" w:color="E2E8F0"/>
                                    <w:bottom w:val="single" w:sz="2" w:space="0" w:color="E2E8F0"/>
                                    <w:right w:val="single" w:sz="2" w:space="0" w:color="E2E8F0"/>
                                  </w:divBdr>
                                  <w:divsChild>
                                    <w:div w:id="552428512">
                                      <w:marLeft w:val="0"/>
                                      <w:marRight w:val="0"/>
                                      <w:marTop w:val="0"/>
                                      <w:marBottom w:val="0"/>
                                      <w:divBdr>
                                        <w:top w:val="single" w:sz="2" w:space="0" w:color="E2E8F0"/>
                                        <w:left w:val="single" w:sz="2" w:space="9" w:color="E2E8F0"/>
                                        <w:bottom w:val="single" w:sz="2" w:space="0" w:color="E2E8F0"/>
                                        <w:right w:val="single" w:sz="2" w:space="9" w:color="E2E8F0"/>
                                      </w:divBdr>
                                    </w:div>
                                  </w:divsChild>
                                </w:div>
                              </w:divsChild>
                            </w:div>
                          </w:divsChild>
                        </w:div>
                        <w:div w:id="1731221696">
                          <w:marLeft w:val="0"/>
                          <w:marRight w:val="0"/>
                          <w:marTop w:val="0"/>
                          <w:marBottom w:val="0"/>
                          <w:divBdr>
                            <w:top w:val="single" w:sz="2" w:space="0" w:color="E2E8F0"/>
                            <w:left w:val="single" w:sz="2" w:space="0" w:color="E2E8F0"/>
                            <w:bottom w:val="single" w:sz="2" w:space="0" w:color="E2E8F0"/>
                            <w:right w:val="single" w:sz="2" w:space="0" w:color="E2E8F0"/>
                          </w:divBdr>
                          <w:divsChild>
                            <w:div w:id="1872692847">
                              <w:marLeft w:val="0"/>
                              <w:marRight w:val="0"/>
                              <w:marTop w:val="0"/>
                              <w:marBottom w:val="0"/>
                              <w:divBdr>
                                <w:top w:val="single" w:sz="2" w:space="0" w:color="E2E8F0"/>
                                <w:left w:val="single" w:sz="2" w:space="0" w:color="E2E8F0"/>
                                <w:bottom w:val="single" w:sz="2" w:space="0" w:color="E2E8F0"/>
                                <w:right w:val="single" w:sz="2" w:space="0" w:color="E2E8F0"/>
                              </w:divBdr>
                              <w:divsChild>
                                <w:div w:id="2075539883">
                                  <w:marLeft w:val="-180"/>
                                  <w:marRight w:val="-180"/>
                                  <w:marTop w:val="0"/>
                                  <w:marBottom w:val="0"/>
                                  <w:divBdr>
                                    <w:top w:val="single" w:sz="2" w:space="0" w:color="E2E8F0"/>
                                    <w:left w:val="single" w:sz="2" w:space="0" w:color="E2E8F0"/>
                                    <w:bottom w:val="single" w:sz="2" w:space="0" w:color="E2E8F0"/>
                                    <w:right w:val="single" w:sz="2" w:space="0" w:color="E2E8F0"/>
                                  </w:divBdr>
                                  <w:divsChild>
                                    <w:div w:id="1802914781">
                                      <w:marLeft w:val="0"/>
                                      <w:marRight w:val="0"/>
                                      <w:marTop w:val="0"/>
                                      <w:marBottom w:val="0"/>
                                      <w:divBdr>
                                        <w:top w:val="single" w:sz="2" w:space="0" w:color="E2E8F0"/>
                                        <w:left w:val="single" w:sz="2" w:space="9" w:color="E2E8F0"/>
                                        <w:bottom w:val="single" w:sz="2" w:space="0" w:color="E2E8F0"/>
                                        <w:right w:val="single" w:sz="2" w:space="9" w:color="E2E8F0"/>
                                      </w:divBdr>
                                    </w:div>
                                  </w:divsChild>
                                </w:div>
                              </w:divsChild>
                            </w:div>
                          </w:divsChild>
                        </w:div>
                        <w:div w:id="1706103521">
                          <w:marLeft w:val="0"/>
                          <w:marRight w:val="0"/>
                          <w:marTop w:val="0"/>
                          <w:marBottom w:val="0"/>
                          <w:divBdr>
                            <w:top w:val="single" w:sz="2" w:space="0" w:color="E2E8F0"/>
                            <w:left w:val="single" w:sz="2" w:space="0" w:color="E2E8F0"/>
                            <w:bottom w:val="single" w:sz="2" w:space="0" w:color="E2E8F0"/>
                            <w:right w:val="single" w:sz="2" w:space="0" w:color="E2E8F0"/>
                          </w:divBdr>
                          <w:divsChild>
                            <w:div w:id="941187782">
                              <w:marLeft w:val="0"/>
                              <w:marRight w:val="0"/>
                              <w:marTop w:val="0"/>
                              <w:marBottom w:val="0"/>
                              <w:divBdr>
                                <w:top w:val="single" w:sz="2" w:space="0" w:color="E2E8F0"/>
                                <w:left w:val="single" w:sz="2" w:space="0" w:color="E2E8F0"/>
                                <w:bottom w:val="single" w:sz="2" w:space="0" w:color="E2E8F0"/>
                                <w:right w:val="single" w:sz="2" w:space="0" w:color="E2E8F0"/>
                              </w:divBdr>
                              <w:divsChild>
                                <w:div w:id="255528025">
                                  <w:marLeft w:val="-180"/>
                                  <w:marRight w:val="-180"/>
                                  <w:marTop w:val="0"/>
                                  <w:marBottom w:val="0"/>
                                  <w:divBdr>
                                    <w:top w:val="single" w:sz="2" w:space="0" w:color="E2E8F0"/>
                                    <w:left w:val="single" w:sz="2" w:space="0" w:color="E2E8F0"/>
                                    <w:bottom w:val="single" w:sz="2" w:space="0" w:color="E2E8F0"/>
                                    <w:right w:val="single" w:sz="2" w:space="0" w:color="E2E8F0"/>
                                  </w:divBdr>
                                  <w:divsChild>
                                    <w:div w:id="1414740219">
                                      <w:marLeft w:val="0"/>
                                      <w:marRight w:val="0"/>
                                      <w:marTop w:val="0"/>
                                      <w:marBottom w:val="0"/>
                                      <w:divBdr>
                                        <w:top w:val="single" w:sz="2" w:space="0" w:color="E2E8F0"/>
                                        <w:left w:val="single" w:sz="2" w:space="9" w:color="E2E8F0"/>
                                        <w:bottom w:val="single" w:sz="2" w:space="0" w:color="E2E8F0"/>
                                        <w:right w:val="single" w:sz="2" w:space="9" w:color="E2E8F0"/>
                                      </w:divBdr>
                                    </w:div>
                                  </w:divsChild>
                                </w:div>
                              </w:divsChild>
                            </w:div>
                          </w:divsChild>
                        </w:div>
                        <w:div w:id="1316446264">
                          <w:marLeft w:val="0"/>
                          <w:marRight w:val="0"/>
                          <w:marTop w:val="0"/>
                          <w:marBottom w:val="0"/>
                          <w:divBdr>
                            <w:top w:val="single" w:sz="2" w:space="0" w:color="E2E8F0"/>
                            <w:left w:val="single" w:sz="2" w:space="0" w:color="E2E8F0"/>
                            <w:bottom w:val="single" w:sz="2" w:space="0" w:color="E2E8F0"/>
                            <w:right w:val="single" w:sz="2" w:space="0" w:color="E2E8F0"/>
                          </w:divBdr>
                          <w:divsChild>
                            <w:div w:id="1915436108">
                              <w:marLeft w:val="0"/>
                              <w:marRight w:val="0"/>
                              <w:marTop w:val="0"/>
                              <w:marBottom w:val="0"/>
                              <w:divBdr>
                                <w:top w:val="single" w:sz="2" w:space="0" w:color="E2E8F0"/>
                                <w:left w:val="single" w:sz="2" w:space="0" w:color="E2E8F0"/>
                                <w:bottom w:val="single" w:sz="2" w:space="0" w:color="E2E8F0"/>
                                <w:right w:val="single" w:sz="2" w:space="0" w:color="E2E8F0"/>
                              </w:divBdr>
                              <w:divsChild>
                                <w:div w:id="1594120228">
                                  <w:marLeft w:val="-180"/>
                                  <w:marRight w:val="-180"/>
                                  <w:marTop w:val="0"/>
                                  <w:marBottom w:val="0"/>
                                  <w:divBdr>
                                    <w:top w:val="single" w:sz="2" w:space="0" w:color="E2E8F0"/>
                                    <w:left w:val="single" w:sz="2" w:space="0" w:color="E2E8F0"/>
                                    <w:bottom w:val="single" w:sz="2" w:space="0" w:color="E2E8F0"/>
                                    <w:right w:val="single" w:sz="2" w:space="0" w:color="E2E8F0"/>
                                  </w:divBdr>
                                  <w:divsChild>
                                    <w:div w:id="1337466528">
                                      <w:marLeft w:val="0"/>
                                      <w:marRight w:val="0"/>
                                      <w:marTop w:val="0"/>
                                      <w:marBottom w:val="0"/>
                                      <w:divBdr>
                                        <w:top w:val="single" w:sz="2" w:space="0" w:color="E2E8F0"/>
                                        <w:left w:val="single" w:sz="2" w:space="9" w:color="E2E8F0"/>
                                        <w:bottom w:val="single" w:sz="2" w:space="0" w:color="E2E8F0"/>
                                        <w:right w:val="single" w:sz="2" w:space="9" w:color="E2E8F0"/>
                                      </w:divBdr>
                                    </w:div>
                                  </w:divsChild>
                                </w:div>
                              </w:divsChild>
                            </w:div>
                          </w:divsChild>
                        </w:div>
                      </w:divsChild>
                    </w:div>
                  </w:divsChild>
                </w:div>
              </w:divsChild>
            </w:div>
          </w:divsChild>
        </w:div>
      </w:divsChild>
    </w:div>
    <w:div w:id="500631074">
      <w:bodyDiv w:val="1"/>
      <w:marLeft w:val="0"/>
      <w:marRight w:val="0"/>
      <w:marTop w:val="0"/>
      <w:marBottom w:val="0"/>
      <w:divBdr>
        <w:top w:val="none" w:sz="0" w:space="0" w:color="auto"/>
        <w:left w:val="none" w:sz="0" w:space="0" w:color="auto"/>
        <w:bottom w:val="none" w:sz="0" w:space="0" w:color="auto"/>
        <w:right w:val="none" w:sz="0" w:space="0" w:color="auto"/>
      </w:divBdr>
    </w:div>
    <w:div w:id="508102987">
      <w:bodyDiv w:val="1"/>
      <w:marLeft w:val="0"/>
      <w:marRight w:val="0"/>
      <w:marTop w:val="0"/>
      <w:marBottom w:val="0"/>
      <w:divBdr>
        <w:top w:val="none" w:sz="0" w:space="0" w:color="auto"/>
        <w:left w:val="none" w:sz="0" w:space="0" w:color="auto"/>
        <w:bottom w:val="none" w:sz="0" w:space="0" w:color="auto"/>
        <w:right w:val="none" w:sz="0" w:space="0" w:color="auto"/>
      </w:divBdr>
    </w:div>
    <w:div w:id="564948979">
      <w:bodyDiv w:val="1"/>
      <w:marLeft w:val="0"/>
      <w:marRight w:val="0"/>
      <w:marTop w:val="0"/>
      <w:marBottom w:val="0"/>
      <w:divBdr>
        <w:top w:val="none" w:sz="0" w:space="0" w:color="auto"/>
        <w:left w:val="none" w:sz="0" w:space="0" w:color="auto"/>
        <w:bottom w:val="none" w:sz="0" w:space="0" w:color="auto"/>
        <w:right w:val="none" w:sz="0" w:space="0" w:color="auto"/>
      </w:divBdr>
    </w:div>
    <w:div w:id="583875258">
      <w:bodyDiv w:val="1"/>
      <w:marLeft w:val="0"/>
      <w:marRight w:val="0"/>
      <w:marTop w:val="0"/>
      <w:marBottom w:val="0"/>
      <w:divBdr>
        <w:top w:val="none" w:sz="0" w:space="0" w:color="auto"/>
        <w:left w:val="none" w:sz="0" w:space="0" w:color="auto"/>
        <w:bottom w:val="none" w:sz="0" w:space="0" w:color="auto"/>
        <w:right w:val="none" w:sz="0" w:space="0" w:color="auto"/>
      </w:divBdr>
    </w:div>
    <w:div w:id="586766376">
      <w:bodyDiv w:val="1"/>
      <w:marLeft w:val="0"/>
      <w:marRight w:val="0"/>
      <w:marTop w:val="0"/>
      <w:marBottom w:val="0"/>
      <w:divBdr>
        <w:top w:val="none" w:sz="0" w:space="0" w:color="auto"/>
        <w:left w:val="none" w:sz="0" w:space="0" w:color="auto"/>
        <w:bottom w:val="none" w:sz="0" w:space="0" w:color="auto"/>
        <w:right w:val="none" w:sz="0" w:space="0" w:color="auto"/>
      </w:divBdr>
    </w:div>
    <w:div w:id="678585511">
      <w:bodyDiv w:val="1"/>
      <w:marLeft w:val="0"/>
      <w:marRight w:val="0"/>
      <w:marTop w:val="0"/>
      <w:marBottom w:val="0"/>
      <w:divBdr>
        <w:top w:val="none" w:sz="0" w:space="0" w:color="auto"/>
        <w:left w:val="none" w:sz="0" w:space="0" w:color="auto"/>
        <w:bottom w:val="none" w:sz="0" w:space="0" w:color="auto"/>
        <w:right w:val="none" w:sz="0" w:space="0" w:color="auto"/>
      </w:divBdr>
    </w:div>
    <w:div w:id="700473335">
      <w:bodyDiv w:val="1"/>
      <w:marLeft w:val="0"/>
      <w:marRight w:val="0"/>
      <w:marTop w:val="0"/>
      <w:marBottom w:val="0"/>
      <w:divBdr>
        <w:top w:val="none" w:sz="0" w:space="0" w:color="auto"/>
        <w:left w:val="none" w:sz="0" w:space="0" w:color="auto"/>
        <w:bottom w:val="none" w:sz="0" w:space="0" w:color="auto"/>
        <w:right w:val="none" w:sz="0" w:space="0" w:color="auto"/>
      </w:divBdr>
      <w:divsChild>
        <w:div w:id="1904869549">
          <w:marLeft w:val="0"/>
          <w:marRight w:val="0"/>
          <w:marTop w:val="0"/>
          <w:marBottom w:val="0"/>
          <w:divBdr>
            <w:top w:val="none" w:sz="0" w:space="0" w:color="auto"/>
            <w:left w:val="none" w:sz="0" w:space="0" w:color="auto"/>
            <w:bottom w:val="none" w:sz="0" w:space="0" w:color="auto"/>
            <w:right w:val="none" w:sz="0" w:space="0" w:color="auto"/>
          </w:divBdr>
        </w:div>
      </w:divsChild>
    </w:div>
    <w:div w:id="731972952">
      <w:bodyDiv w:val="1"/>
      <w:marLeft w:val="0"/>
      <w:marRight w:val="0"/>
      <w:marTop w:val="0"/>
      <w:marBottom w:val="0"/>
      <w:divBdr>
        <w:top w:val="none" w:sz="0" w:space="0" w:color="auto"/>
        <w:left w:val="none" w:sz="0" w:space="0" w:color="auto"/>
        <w:bottom w:val="none" w:sz="0" w:space="0" w:color="auto"/>
        <w:right w:val="none" w:sz="0" w:space="0" w:color="auto"/>
      </w:divBdr>
    </w:div>
    <w:div w:id="747655561">
      <w:bodyDiv w:val="1"/>
      <w:marLeft w:val="0"/>
      <w:marRight w:val="0"/>
      <w:marTop w:val="0"/>
      <w:marBottom w:val="0"/>
      <w:divBdr>
        <w:top w:val="none" w:sz="0" w:space="0" w:color="auto"/>
        <w:left w:val="none" w:sz="0" w:space="0" w:color="auto"/>
        <w:bottom w:val="none" w:sz="0" w:space="0" w:color="auto"/>
        <w:right w:val="none" w:sz="0" w:space="0" w:color="auto"/>
      </w:divBdr>
    </w:div>
    <w:div w:id="796683568">
      <w:bodyDiv w:val="1"/>
      <w:marLeft w:val="0"/>
      <w:marRight w:val="0"/>
      <w:marTop w:val="0"/>
      <w:marBottom w:val="0"/>
      <w:divBdr>
        <w:top w:val="none" w:sz="0" w:space="0" w:color="auto"/>
        <w:left w:val="none" w:sz="0" w:space="0" w:color="auto"/>
        <w:bottom w:val="none" w:sz="0" w:space="0" w:color="auto"/>
        <w:right w:val="none" w:sz="0" w:space="0" w:color="auto"/>
      </w:divBdr>
    </w:div>
    <w:div w:id="812285262">
      <w:bodyDiv w:val="1"/>
      <w:marLeft w:val="0"/>
      <w:marRight w:val="0"/>
      <w:marTop w:val="0"/>
      <w:marBottom w:val="0"/>
      <w:divBdr>
        <w:top w:val="none" w:sz="0" w:space="0" w:color="auto"/>
        <w:left w:val="none" w:sz="0" w:space="0" w:color="auto"/>
        <w:bottom w:val="none" w:sz="0" w:space="0" w:color="auto"/>
        <w:right w:val="none" w:sz="0" w:space="0" w:color="auto"/>
      </w:divBdr>
    </w:div>
    <w:div w:id="846409813">
      <w:bodyDiv w:val="1"/>
      <w:marLeft w:val="0"/>
      <w:marRight w:val="0"/>
      <w:marTop w:val="0"/>
      <w:marBottom w:val="0"/>
      <w:divBdr>
        <w:top w:val="none" w:sz="0" w:space="0" w:color="auto"/>
        <w:left w:val="none" w:sz="0" w:space="0" w:color="auto"/>
        <w:bottom w:val="none" w:sz="0" w:space="0" w:color="auto"/>
        <w:right w:val="none" w:sz="0" w:space="0" w:color="auto"/>
      </w:divBdr>
    </w:div>
    <w:div w:id="870385598">
      <w:bodyDiv w:val="1"/>
      <w:marLeft w:val="0"/>
      <w:marRight w:val="0"/>
      <w:marTop w:val="0"/>
      <w:marBottom w:val="0"/>
      <w:divBdr>
        <w:top w:val="none" w:sz="0" w:space="0" w:color="auto"/>
        <w:left w:val="none" w:sz="0" w:space="0" w:color="auto"/>
        <w:bottom w:val="none" w:sz="0" w:space="0" w:color="auto"/>
        <w:right w:val="none" w:sz="0" w:space="0" w:color="auto"/>
      </w:divBdr>
    </w:div>
    <w:div w:id="877358863">
      <w:bodyDiv w:val="1"/>
      <w:marLeft w:val="0"/>
      <w:marRight w:val="0"/>
      <w:marTop w:val="0"/>
      <w:marBottom w:val="0"/>
      <w:divBdr>
        <w:top w:val="none" w:sz="0" w:space="0" w:color="auto"/>
        <w:left w:val="none" w:sz="0" w:space="0" w:color="auto"/>
        <w:bottom w:val="none" w:sz="0" w:space="0" w:color="auto"/>
        <w:right w:val="none" w:sz="0" w:space="0" w:color="auto"/>
      </w:divBdr>
    </w:div>
    <w:div w:id="900408335">
      <w:bodyDiv w:val="1"/>
      <w:marLeft w:val="0"/>
      <w:marRight w:val="0"/>
      <w:marTop w:val="0"/>
      <w:marBottom w:val="0"/>
      <w:divBdr>
        <w:top w:val="none" w:sz="0" w:space="0" w:color="auto"/>
        <w:left w:val="none" w:sz="0" w:space="0" w:color="auto"/>
        <w:bottom w:val="none" w:sz="0" w:space="0" w:color="auto"/>
        <w:right w:val="none" w:sz="0" w:space="0" w:color="auto"/>
      </w:divBdr>
    </w:div>
    <w:div w:id="908804531">
      <w:bodyDiv w:val="1"/>
      <w:marLeft w:val="0"/>
      <w:marRight w:val="0"/>
      <w:marTop w:val="0"/>
      <w:marBottom w:val="0"/>
      <w:divBdr>
        <w:top w:val="none" w:sz="0" w:space="0" w:color="auto"/>
        <w:left w:val="none" w:sz="0" w:space="0" w:color="auto"/>
        <w:bottom w:val="none" w:sz="0" w:space="0" w:color="auto"/>
        <w:right w:val="none" w:sz="0" w:space="0" w:color="auto"/>
      </w:divBdr>
    </w:div>
    <w:div w:id="925769864">
      <w:bodyDiv w:val="1"/>
      <w:marLeft w:val="0"/>
      <w:marRight w:val="0"/>
      <w:marTop w:val="0"/>
      <w:marBottom w:val="0"/>
      <w:divBdr>
        <w:top w:val="none" w:sz="0" w:space="0" w:color="auto"/>
        <w:left w:val="none" w:sz="0" w:space="0" w:color="auto"/>
        <w:bottom w:val="none" w:sz="0" w:space="0" w:color="auto"/>
        <w:right w:val="none" w:sz="0" w:space="0" w:color="auto"/>
      </w:divBdr>
    </w:div>
    <w:div w:id="1035230382">
      <w:bodyDiv w:val="1"/>
      <w:marLeft w:val="0"/>
      <w:marRight w:val="0"/>
      <w:marTop w:val="0"/>
      <w:marBottom w:val="0"/>
      <w:divBdr>
        <w:top w:val="none" w:sz="0" w:space="0" w:color="auto"/>
        <w:left w:val="none" w:sz="0" w:space="0" w:color="auto"/>
        <w:bottom w:val="none" w:sz="0" w:space="0" w:color="auto"/>
        <w:right w:val="none" w:sz="0" w:space="0" w:color="auto"/>
      </w:divBdr>
    </w:div>
    <w:div w:id="1067874536">
      <w:bodyDiv w:val="1"/>
      <w:marLeft w:val="0"/>
      <w:marRight w:val="0"/>
      <w:marTop w:val="0"/>
      <w:marBottom w:val="0"/>
      <w:divBdr>
        <w:top w:val="none" w:sz="0" w:space="0" w:color="auto"/>
        <w:left w:val="none" w:sz="0" w:space="0" w:color="auto"/>
        <w:bottom w:val="none" w:sz="0" w:space="0" w:color="auto"/>
        <w:right w:val="none" w:sz="0" w:space="0" w:color="auto"/>
      </w:divBdr>
    </w:div>
    <w:div w:id="1072653504">
      <w:bodyDiv w:val="1"/>
      <w:marLeft w:val="0"/>
      <w:marRight w:val="0"/>
      <w:marTop w:val="0"/>
      <w:marBottom w:val="0"/>
      <w:divBdr>
        <w:top w:val="none" w:sz="0" w:space="0" w:color="auto"/>
        <w:left w:val="none" w:sz="0" w:space="0" w:color="auto"/>
        <w:bottom w:val="none" w:sz="0" w:space="0" w:color="auto"/>
        <w:right w:val="none" w:sz="0" w:space="0" w:color="auto"/>
      </w:divBdr>
    </w:div>
    <w:div w:id="1111243092">
      <w:bodyDiv w:val="1"/>
      <w:marLeft w:val="0"/>
      <w:marRight w:val="0"/>
      <w:marTop w:val="0"/>
      <w:marBottom w:val="0"/>
      <w:divBdr>
        <w:top w:val="none" w:sz="0" w:space="0" w:color="auto"/>
        <w:left w:val="none" w:sz="0" w:space="0" w:color="auto"/>
        <w:bottom w:val="none" w:sz="0" w:space="0" w:color="auto"/>
        <w:right w:val="none" w:sz="0" w:space="0" w:color="auto"/>
      </w:divBdr>
    </w:div>
    <w:div w:id="1111780151">
      <w:bodyDiv w:val="1"/>
      <w:marLeft w:val="0"/>
      <w:marRight w:val="0"/>
      <w:marTop w:val="0"/>
      <w:marBottom w:val="0"/>
      <w:divBdr>
        <w:top w:val="none" w:sz="0" w:space="0" w:color="auto"/>
        <w:left w:val="none" w:sz="0" w:space="0" w:color="auto"/>
        <w:bottom w:val="none" w:sz="0" w:space="0" w:color="auto"/>
        <w:right w:val="none" w:sz="0" w:space="0" w:color="auto"/>
      </w:divBdr>
    </w:div>
    <w:div w:id="1125391520">
      <w:bodyDiv w:val="1"/>
      <w:marLeft w:val="0"/>
      <w:marRight w:val="0"/>
      <w:marTop w:val="0"/>
      <w:marBottom w:val="0"/>
      <w:divBdr>
        <w:top w:val="none" w:sz="0" w:space="0" w:color="auto"/>
        <w:left w:val="none" w:sz="0" w:space="0" w:color="auto"/>
        <w:bottom w:val="none" w:sz="0" w:space="0" w:color="auto"/>
        <w:right w:val="none" w:sz="0" w:space="0" w:color="auto"/>
      </w:divBdr>
    </w:div>
    <w:div w:id="1227691619">
      <w:bodyDiv w:val="1"/>
      <w:marLeft w:val="0"/>
      <w:marRight w:val="0"/>
      <w:marTop w:val="0"/>
      <w:marBottom w:val="0"/>
      <w:divBdr>
        <w:top w:val="none" w:sz="0" w:space="0" w:color="auto"/>
        <w:left w:val="none" w:sz="0" w:space="0" w:color="auto"/>
        <w:bottom w:val="none" w:sz="0" w:space="0" w:color="auto"/>
        <w:right w:val="none" w:sz="0" w:space="0" w:color="auto"/>
      </w:divBdr>
    </w:div>
    <w:div w:id="1271426365">
      <w:bodyDiv w:val="1"/>
      <w:marLeft w:val="0"/>
      <w:marRight w:val="0"/>
      <w:marTop w:val="0"/>
      <w:marBottom w:val="0"/>
      <w:divBdr>
        <w:top w:val="none" w:sz="0" w:space="0" w:color="auto"/>
        <w:left w:val="none" w:sz="0" w:space="0" w:color="auto"/>
        <w:bottom w:val="none" w:sz="0" w:space="0" w:color="auto"/>
        <w:right w:val="none" w:sz="0" w:space="0" w:color="auto"/>
      </w:divBdr>
    </w:div>
    <w:div w:id="1271621065">
      <w:bodyDiv w:val="1"/>
      <w:marLeft w:val="0"/>
      <w:marRight w:val="0"/>
      <w:marTop w:val="0"/>
      <w:marBottom w:val="0"/>
      <w:divBdr>
        <w:top w:val="none" w:sz="0" w:space="0" w:color="auto"/>
        <w:left w:val="none" w:sz="0" w:space="0" w:color="auto"/>
        <w:bottom w:val="none" w:sz="0" w:space="0" w:color="auto"/>
        <w:right w:val="none" w:sz="0" w:space="0" w:color="auto"/>
      </w:divBdr>
    </w:div>
    <w:div w:id="1322081404">
      <w:bodyDiv w:val="1"/>
      <w:marLeft w:val="0"/>
      <w:marRight w:val="0"/>
      <w:marTop w:val="0"/>
      <w:marBottom w:val="0"/>
      <w:divBdr>
        <w:top w:val="none" w:sz="0" w:space="0" w:color="auto"/>
        <w:left w:val="none" w:sz="0" w:space="0" w:color="auto"/>
        <w:bottom w:val="none" w:sz="0" w:space="0" w:color="auto"/>
        <w:right w:val="none" w:sz="0" w:space="0" w:color="auto"/>
      </w:divBdr>
    </w:div>
    <w:div w:id="1332609695">
      <w:bodyDiv w:val="1"/>
      <w:marLeft w:val="0"/>
      <w:marRight w:val="0"/>
      <w:marTop w:val="0"/>
      <w:marBottom w:val="0"/>
      <w:divBdr>
        <w:top w:val="none" w:sz="0" w:space="0" w:color="auto"/>
        <w:left w:val="none" w:sz="0" w:space="0" w:color="auto"/>
        <w:bottom w:val="none" w:sz="0" w:space="0" w:color="auto"/>
        <w:right w:val="none" w:sz="0" w:space="0" w:color="auto"/>
      </w:divBdr>
    </w:div>
    <w:div w:id="1336299208">
      <w:bodyDiv w:val="1"/>
      <w:marLeft w:val="0"/>
      <w:marRight w:val="0"/>
      <w:marTop w:val="0"/>
      <w:marBottom w:val="0"/>
      <w:divBdr>
        <w:top w:val="none" w:sz="0" w:space="0" w:color="auto"/>
        <w:left w:val="none" w:sz="0" w:space="0" w:color="auto"/>
        <w:bottom w:val="none" w:sz="0" w:space="0" w:color="auto"/>
        <w:right w:val="none" w:sz="0" w:space="0" w:color="auto"/>
      </w:divBdr>
    </w:div>
    <w:div w:id="1379165399">
      <w:bodyDiv w:val="1"/>
      <w:marLeft w:val="0"/>
      <w:marRight w:val="0"/>
      <w:marTop w:val="0"/>
      <w:marBottom w:val="0"/>
      <w:divBdr>
        <w:top w:val="none" w:sz="0" w:space="0" w:color="auto"/>
        <w:left w:val="none" w:sz="0" w:space="0" w:color="auto"/>
        <w:bottom w:val="none" w:sz="0" w:space="0" w:color="auto"/>
        <w:right w:val="none" w:sz="0" w:space="0" w:color="auto"/>
      </w:divBdr>
    </w:div>
    <w:div w:id="1400714437">
      <w:bodyDiv w:val="1"/>
      <w:marLeft w:val="0"/>
      <w:marRight w:val="0"/>
      <w:marTop w:val="0"/>
      <w:marBottom w:val="0"/>
      <w:divBdr>
        <w:top w:val="none" w:sz="0" w:space="0" w:color="auto"/>
        <w:left w:val="none" w:sz="0" w:space="0" w:color="auto"/>
        <w:bottom w:val="none" w:sz="0" w:space="0" w:color="auto"/>
        <w:right w:val="none" w:sz="0" w:space="0" w:color="auto"/>
      </w:divBdr>
    </w:div>
    <w:div w:id="1467700745">
      <w:bodyDiv w:val="1"/>
      <w:marLeft w:val="0"/>
      <w:marRight w:val="0"/>
      <w:marTop w:val="0"/>
      <w:marBottom w:val="0"/>
      <w:divBdr>
        <w:top w:val="none" w:sz="0" w:space="0" w:color="auto"/>
        <w:left w:val="none" w:sz="0" w:space="0" w:color="auto"/>
        <w:bottom w:val="none" w:sz="0" w:space="0" w:color="auto"/>
        <w:right w:val="none" w:sz="0" w:space="0" w:color="auto"/>
      </w:divBdr>
    </w:div>
    <w:div w:id="1498032659">
      <w:bodyDiv w:val="1"/>
      <w:marLeft w:val="0"/>
      <w:marRight w:val="0"/>
      <w:marTop w:val="0"/>
      <w:marBottom w:val="0"/>
      <w:divBdr>
        <w:top w:val="none" w:sz="0" w:space="0" w:color="auto"/>
        <w:left w:val="none" w:sz="0" w:space="0" w:color="auto"/>
        <w:bottom w:val="none" w:sz="0" w:space="0" w:color="auto"/>
        <w:right w:val="none" w:sz="0" w:space="0" w:color="auto"/>
      </w:divBdr>
    </w:div>
    <w:div w:id="1549339299">
      <w:bodyDiv w:val="1"/>
      <w:marLeft w:val="0"/>
      <w:marRight w:val="0"/>
      <w:marTop w:val="0"/>
      <w:marBottom w:val="0"/>
      <w:divBdr>
        <w:top w:val="none" w:sz="0" w:space="0" w:color="auto"/>
        <w:left w:val="none" w:sz="0" w:space="0" w:color="auto"/>
        <w:bottom w:val="none" w:sz="0" w:space="0" w:color="auto"/>
        <w:right w:val="none" w:sz="0" w:space="0" w:color="auto"/>
      </w:divBdr>
    </w:div>
    <w:div w:id="1572543771">
      <w:bodyDiv w:val="1"/>
      <w:marLeft w:val="0"/>
      <w:marRight w:val="0"/>
      <w:marTop w:val="0"/>
      <w:marBottom w:val="0"/>
      <w:divBdr>
        <w:top w:val="none" w:sz="0" w:space="0" w:color="auto"/>
        <w:left w:val="none" w:sz="0" w:space="0" w:color="auto"/>
        <w:bottom w:val="none" w:sz="0" w:space="0" w:color="auto"/>
        <w:right w:val="none" w:sz="0" w:space="0" w:color="auto"/>
      </w:divBdr>
    </w:div>
    <w:div w:id="1574268988">
      <w:bodyDiv w:val="1"/>
      <w:marLeft w:val="0"/>
      <w:marRight w:val="0"/>
      <w:marTop w:val="0"/>
      <w:marBottom w:val="0"/>
      <w:divBdr>
        <w:top w:val="none" w:sz="0" w:space="0" w:color="auto"/>
        <w:left w:val="none" w:sz="0" w:space="0" w:color="auto"/>
        <w:bottom w:val="none" w:sz="0" w:space="0" w:color="auto"/>
        <w:right w:val="none" w:sz="0" w:space="0" w:color="auto"/>
      </w:divBdr>
    </w:div>
    <w:div w:id="1613323330">
      <w:bodyDiv w:val="1"/>
      <w:marLeft w:val="0"/>
      <w:marRight w:val="0"/>
      <w:marTop w:val="0"/>
      <w:marBottom w:val="0"/>
      <w:divBdr>
        <w:top w:val="none" w:sz="0" w:space="0" w:color="auto"/>
        <w:left w:val="none" w:sz="0" w:space="0" w:color="auto"/>
        <w:bottom w:val="none" w:sz="0" w:space="0" w:color="auto"/>
        <w:right w:val="none" w:sz="0" w:space="0" w:color="auto"/>
      </w:divBdr>
    </w:div>
    <w:div w:id="1625228179">
      <w:bodyDiv w:val="1"/>
      <w:marLeft w:val="0"/>
      <w:marRight w:val="0"/>
      <w:marTop w:val="0"/>
      <w:marBottom w:val="0"/>
      <w:divBdr>
        <w:top w:val="none" w:sz="0" w:space="0" w:color="auto"/>
        <w:left w:val="none" w:sz="0" w:space="0" w:color="auto"/>
        <w:bottom w:val="none" w:sz="0" w:space="0" w:color="auto"/>
        <w:right w:val="none" w:sz="0" w:space="0" w:color="auto"/>
      </w:divBdr>
    </w:div>
    <w:div w:id="1633361842">
      <w:bodyDiv w:val="1"/>
      <w:marLeft w:val="0"/>
      <w:marRight w:val="0"/>
      <w:marTop w:val="0"/>
      <w:marBottom w:val="0"/>
      <w:divBdr>
        <w:top w:val="none" w:sz="0" w:space="0" w:color="auto"/>
        <w:left w:val="none" w:sz="0" w:space="0" w:color="auto"/>
        <w:bottom w:val="none" w:sz="0" w:space="0" w:color="auto"/>
        <w:right w:val="none" w:sz="0" w:space="0" w:color="auto"/>
      </w:divBdr>
    </w:div>
    <w:div w:id="1635481074">
      <w:bodyDiv w:val="1"/>
      <w:marLeft w:val="0"/>
      <w:marRight w:val="0"/>
      <w:marTop w:val="0"/>
      <w:marBottom w:val="0"/>
      <w:divBdr>
        <w:top w:val="none" w:sz="0" w:space="0" w:color="auto"/>
        <w:left w:val="none" w:sz="0" w:space="0" w:color="auto"/>
        <w:bottom w:val="none" w:sz="0" w:space="0" w:color="auto"/>
        <w:right w:val="none" w:sz="0" w:space="0" w:color="auto"/>
      </w:divBdr>
      <w:divsChild>
        <w:div w:id="1406996657">
          <w:marLeft w:val="0"/>
          <w:marRight w:val="0"/>
          <w:marTop w:val="0"/>
          <w:marBottom w:val="0"/>
          <w:divBdr>
            <w:top w:val="none" w:sz="0" w:space="0" w:color="auto"/>
            <w:left w:val="none" w:sz="0" w:space="0" w:color="auto"/>
            <w:bottom w:val="none" w:sz="0" w:space="0" w:color="auto"/>
            <w:right w:val="none" w:sz="0" w:space="0" w:color="auto"/>
          </w:divBdr>
          <w:divsChild>
            <w:div w:id="1728216739">
              <w:marLeft w:val="0"/>
              <w:marRight w:val="0"/>
              <w:marTop w:val="0"/>
              <w:marBottom w:val="0"/>
              <w:divBdr>
                <w:top w:val="none" w:sz="0" w:space="0" w:color="auto"/>
                <w:left w:val="none" w:sz="0" w:space="0" w:color="auto"/>
                <w:bottom w:val="none" w:sz="0" w:space="0" w:color="auto"/>
                <w:right w:val="none" w:sz="0" w:space="0" w:color="auto"/>
              </w:divBdr>
              <w:divsChild>
                <w:div w:id="1973052569">
                  <w:marLeft w:val="0"/>
                  <w:marRight w:val="0"/>
                  <w:marTop w:val="0"/>
                  <w:marBottom w:val="0"/>
                  <w:divBdr>
                    <w:top w:val="none" w:sz="0" w:space="0" w:color="auto"/>
                    <w:left w:val="none" w:sz="0" w:space="0" w:color="auto"/>
                    <w:bottom w:val="none" w:sz="0" w:space="0" w:color="auto"/>
                    <w:right w:val="none" w:sz="0" w:space="0" w:color="auto"/>
                  </w:divBdr>
                  <w:divsChild>
                    <w:div w:id="941454154">
                      <w:marLeft w:val="0"/>
                      <w:marRight w:val="0"/>
                      <w:marTop w:val="0"/>
                      <w:marBottom w:val="0"/>
                      <w:divBdr>
                        <w:top w:val="none" w:sz="0" w:space="0" w:color="auto"/>
                        <w:left w:val="none" w:sz="0" w:space="0" w:color="auto"/>
                        <w:bottom w:val="none" w:sz="0" w:space="0" w:color="auto"/>
                        <w:right w:val="none" w:sz="0" w:space="0" w:color="auto"/>
                      </w:divBdr>
                      <w:divsChild>
                        <w:div w:id="103353239">
                          <w:marLeft w:val="0"/>
                          <w:marRight w:val="0"/>
                          <w:marTop w:val="0"/>
                          <w:marBottom w:val="0"/>
                          <w:divBdr>
                            <w:top w:val="none" w:sz="0" w:space="0" w:color="auto"/>
                            <w:left w:val="none" w:sz="0" w:space="0" w:color="auto"/>
                            <w:bottom w:val="none" w:sz="0" w:space="0" w:color="auto"/>
                            <w:right w:val="none" w:sz="0" w:space="0" w:color="auto"/>
                          </w:divBdr>
                          <w:divsChild>
                            <w:div w:id="5520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14026">
      <w:bodyDiv w:val="1"/>
      <w:marLeft w:val="0"/>
      <w:marRight w:val="0"/>
      <w:marTop w:val="0"/>
      <w:marBottom w:val="0"/>
      <w:divBdr>
        <w:top w:val="none" w:sz="0" w:space="0" w:color="auto"/>
        <w:left w:val="none" w:sz="0" w:space="0" w:color="auto"/>
        <w:bottom w:val="none" w:sz="0" w:space="0" w:color="auto"/>
        <w:right w:val="none" w:sz="0" w:space="0" w:color="auto"/>
      </w:divBdr>
    </w:div>
    <w:div w:id="1649479713">
      <w:bodyDiv w:val="1"/>
      <w:marLeft w:val="0"/>
      <w:marRight w:val="0"/>
      <w:marTop w:val="0"/>
      <w:marBottom w:val="0"/>
      <w:divBdr>
        <w:top w:val="none" w:sz="0" w:space="0" w:color="auto"/>
        <w:left w:val="none" w:sz="0" w:space="0" w:color="auto"/>
        <w:bottom w:val="none" w:sz="0" w:space="0" w:color="auto"/>
        <w:right w:val="none" w:sz="0" w:space="0" w:color="auto"/>
      </w:divBdr>
    </w:div>
    <w:div w:id="1697660040">
      <w:bodyDiv w:val="1"/>
      <w:marLeft w:val="0"/>
      <w:marRight w:val="0"/>
      <w:marTop w:val="0"/>
      <w:marBottom w:val="0"/>
      <w:divBdr>
        <w:top w:val="none" w:sz="0" w:space="0" w:color="auto"/>
        <w:left w:val="none" w:sz="0" w:space="0" w:color="auto"/>
        <w:bottom w:val="none" w:sz="0" w:space="0" w:color="auto"/>
        <w:right w:val="none" w:sz="0" w:space="0" w:color="auto"/>
      </w:divBdr>
    </w:div>
    <w:div w:id="1701473734">
      <w:bodyDiv w:val="1"/>
      <w:marLeft w:val="0"/>
      <w:marRight w:val="0"/>
      <w:marTop w:val="0"/>
      <w:marBottom w:val="0"/>
      <w:divBdr>
        <w:top w:val="none" w:sz="0" w:space="0" w:color="auto"/>
        <w:left w:val="none" w:sz="0" w:space="0" w:color="auto"/>
        <w:bottom w:val="none" w:sz="0" w:space="0" w:color="auto"/>
        <w:right w:val="none" w:sz="0" w:space="0" w:color="auto"/>
      </w:divBdr>
    </w:div>
    <w:div w:id="1716732573">
      <w:bodyDiv w:val="1"/>
      <w:marLeft w:val="0"/>
      <w:marRight w:val="0"/>
      <w:marTop w:val="0"/>
      <w:marBottom w:val="0"/>
      <w:divBdr>
        <w:top w:val="none" w:sz="0" w:space="0" w:color="auto"/>
        <w:left w:val="none" w:sz="0" w:space="0" w:color="auto"/>
        <w:bottom w:val="none" w:sz="0" w:space="0" w:color="auto"/>
        <w:right w:val="none" w:sz="0" w:space="0" w:color="auto"/>
      </w:divBdr>
    </w:div>
    <w:div w:id="1722561411">
      <w:bodyDiv w:val="1"/>
      <w:marLeft w:val="0"/>
      <w:marRight w:val="0"/>
      <w:marTop w:val="0"/>
      <w:marBottom w:val="0"/>
      <w:divBdr>
        <w:top w:val="none" w:sz="0" w:space="0" w:color="auto"/>
        <w:left w:val="none" w:sz="0" w:space="0" w:color="auto"/>
        <w:bottom w:val="none" w:sz="0" w:space="0" w:color="auto"/>
        <w:right w:val="none" w:sz="0" w:space="0" w:color="auto"/>
      </w:divBdr>
    </w:div>
    <w:div w:id="1763409286">
      <w:bodyDiv w:val="1"/>
      <w:marLeft w:val="0"/>
      <w:marRight w:val="0"/>
      <w:marTop w:val="0"/>
      <w:marBottom w:val="0"/>
      <w:divBdr>
        <w:top w:val="none" w:sz="0" w:space="0" w:color="auto"/>
        <w:left w:val="none" w:sz="0" w:space="0" w:color="auto"/>
        <w:bottom w:val="none" w:sz="0" w:space="0" w:color="auto"/>
        <w:right w:val="none" w:sz="0" w:space="0" w:color="auto"/>
      </w:divBdr>
    </w:div>
    <w:div w:id="1765373076">
      <w:bodyDiv w:val="1"/>
      <w:marLeft w:val="0"/>
      <w:marRight w:val="0"/>
      <w:marTop w:val="0"/>
      <w:marBottom w:val="0"/>
      <w:divBdr>
        <w:top w:val="none" w:sz="0" w:space="0" w:color="auto"/>
        <w:left w:val="none" w:sz="0" w:space="0" w:color="auto"/>
        <w:bottom w:val="none" w:sz="0" w:space="0" w:color="auto"/>
        <w:right w:val="none" w:sz="0" w:space="0" w:color="auto"/>
      </w:divBdr>
      <w:divsChild>
        <w:div w:id="968586225">
          <w:marLeft w:val="-90"/>
          <w:marRight w:val="-90"/>
          <w:marTop w:val="0"/>
          <w:marBottom w:val="0"/>
          <w:divBdr>
            <w:top w:val="none" w:sz="0" w:space="0" w:color="auto"/>
            <w:left w:val="none" w:sz="0" w:space="0" w:color="auto"/>
            <w:bottom w:val="none" w:sz="0" w:space="0" w:color="auto"/>
            <w:right w:val="none" w:sz="0" w:space="0" w:color="auto"/>
          </w:divBdr>
          <w:divsChild>
            <w:div w:id="323360304">
              <w:marLeft w:val="0"/>
              <w:marRight w:val="0"/>
              <w:marTop w:val="0"/>
              <w:marBottom w:val="0"/>
              <w:divBdr>
                <w:top w:val="none" w:sz="0" w:space="0" w:color="auto"/>
                <w:left w:val="none" w:sz="0" w:space="0" w:color="auto"/>
                <w:bottom w:val="none" w:sz="0" w:space="0" w:color="auto"/>
                <w:right w:val="none" w:sz="0" w:space="0" w:color="auto"/>
              </w:divBdr>
              <w:divsChild>
                <w:div w:id="777797720">
                  <w:marLeft w:val="0"/>
                  <w:marRight w:val="0"/>
                  <w:marTop w:val="0"/>
                  <w:marBottom w:val="0"/>
                  <w:divBdr>
                    <w:top w:val="none" w:sz="0" w:space="0" w:color="auto"/>
                    <w:left w:val="none" w:sz="0" w:space="0" w:color="auto"/>
                    <w:bottom w:val="none" w:sz="0" w:space="0" w:color="auto"/>
                    <w:right w:val="none" w:sz="0" w:space="0" w:color="auto"/>
                  </w:divBdr>
                  <w:divsChild>
                    <w:div w:id="62728419">
                      <w:marLeft w:val="0"/>
                      <w:marRight w:val="0"/>
                      <w:marTop w:val="0"/>
                      <w:marBottom w:val="0"/>
                      <w:divBdr>
                        <w:top w:val="none" w:sz="0" w:space="0" w:color="auto"/>
                        <w:left w:val="none" w:sz="0" w:space="0" w:color="auto"/>
                        <w:bottom w:val="none" w:sz="0" w:space="0" w:color="auto"/>
                        <w:right w:val="none" w:sz="0" w:space="0" w:color="auto"/>
                      </w:divBdr>
                      <w:divsChild>
                        <w:div w:id="19594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40151">
          <w:marLeft w:val="-90"/>
          <w:marRight w:val="-90"/>
          <w:marTop w:val="0"/>
          <w:marBottom w:val="0"/>
          <w:divBdr>
            <w:top w:val="none" w:sz="0" w:space="0" w:color="auto"/>
            <w:left w:val="none" w:sz="0" w:space="0" w:color="auto"/>
            <w:bottom w:val="none" w:sz="0" w:space="0" w:color="auto"/>
            <w:right w:val="none" w:sz="0" w:space="0" w:color="auto"/>
          </w:divBdr>
          <w:divsChild>
            <w:div w:id="1831166754">
              <w:marLeft w:val="0"/>
              <w:marRight w:val="0"/>
              <w:marTop w:val="0"/>
              <w:marBottom w:val="0"/>
              <w:divBdr>
                <w:top w:val="none" w:sz="0" w:space="0" w:color="auto"/>
                <w:left w:val="none" w:sz="0" w:space="0" w:color="auto"/>
                <w:bottom w:val="none" w:sz="0" w:space="0" w:color="auto"/>
                <w:right w:val="none" w:sz="0" w:space="0" w:color="auto"/>
              </w:divBdr>
              <w:divsChild>
                <w:div w:id="805246820">
                  <w:marLeft w:val="0"/>
                  <w:marRight w:val="0"/>
                  <w:marTop w:val="0"/>
                  <w:marBottom w:val="0"/>
                  <w:divBdr>
                    <w:top w:val="none" w:sz="0" w:space="0" w:color="auto"/>
                    <w:left w:val="none" w:sz="0" w:space="0" w:color="auto"/>
                    <w:bottom w:val="none" w:sz="0" w:space="0" w:color="auto"/>
                    <w:right w:val="none" w:sz="0" w:space="0" w:color="auto"/>
                  </w:divBdr>
                  <w:divsChild>
                    <w:div w:id="1667856791">
                      <w:marLeft w:val="0"/>
                      <w:marRight w:val="0"/>
                      <w:marTop w:val="0"/>
                      <w:marBottom w:val="0"/>
                      <w:divBdr>
                        <w:top w:val="none" w:sz="0" w:space="0" w:color="auto"/>
                        <w:left w:val="none" w:sz="0" w:space="0" w:color="auto"/>
                        <w:bottom w:val="none" w:sz="0" w:space="0" w:color="auto"/>
                        <w:right w:val="none" w:sz="0" w:space="0" w:color="auto"/>
                      </w:divBdr>
                      <w:divsChild>
                        <w:div w:id="3375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03734">
          <w:marLeft w:val="-90"/>
          <w:marRight w:val="-90"/>
          <w:marTop w:val="0"/>
          <w:marBottom w:val="0"/>
          <w:divBdr>
            <w:top w:val="none" w:sz="0" w:space="0" w:color="auto"/>
            <w:left w:val="none" w:sz="0" w:space="0" w:color="auto"/>
            <w:bottom w:val="none" w:sz="0" w:space="0" w:color="auto"/>
            <w:right w:val="none" w:sz="0" w:space="0" w:color="auto"/>
          </w:divBdr>
          <w:divsChild>
            <w:div w:id="1610622763">
              <w:marLeft w:val="0"/>
              <w:marRight w:val="0"/>
              <w:marTop w:val="0"/>
              <w:marBottom w:val="0"/>
              <w:divBdr>
                <w:top w:val="none" w:sz="0" w:space="0" w:color="auto"/>
                <w:left w:val="none" w:sz="0" w:space="0" w:color="auto"/>
                <w:bottom w:val="none" w:sz="0" w:space="0" w:color="auto"/>
                <w:right w:val="none" w:sz="0" w:space="0" w:color="auto"/>
              </w:divBdr>
              <w:divsChild>
                <w:div w:id="1162820217">
                  <w:marLeft w:val="0"/>
                  <w:marRight w:val="0"/>
                  <w:marTop w:val="0"/>
                  <w:marBottom w:val="0"/>
                  <w:divBdr>
                    <w:top w:val="none" w:sz="0" w:space="0" w:color="auto"/>
                    <w:left w:val="none" w:sz="0" w:space="0" w:color="auto"/>
                    <w:bottom w:val="none" w:sz="0" w:space="0" w:color="auto"/>
                    <w:right w:val="none" w:sz="0" w:space="0" w:color="auto"/>
                  </w:divBdr>
                  <w:divsChild>
                    <w:div w:id="70592486">
                      <w:marLeft w:val="0"/>
                      <w:marRight w:val="0"/>
                      <w:marTop w:val="0"/>
                      <w:marBottom w:val="0"/>
                      <w:divBdr>
                        <w:top w:val="none" w:sz="0" w:space="0" w:color="auto"/>
                        <w:left w:val="none" w:sz="0" w:space="0" w:color="auto"/>
                        <w:bottom w:val="none" w:sz="0" w:space="0" w:color="auto"/>
                        <w:right w:val="none" w:sz="0" w:space="0" w:color="auto"/>
                      </w:divBdr>
                      <w:divsChild>
                        <w:div w:id="15070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9505">
          <w:marLeft w:val="-90"/>
          <w:marRight w:val="-90"/>
          <w:marTop w:val="0"/>
          <w:marBottom w:val="0"/>
          <w:divBdr>
            <w:top w:val="none" w:sz="0" w:space="0" w:color="auto"/>
            <w:left w:val="none" w:sz="0" w:space="0" w:color="auto"/>
            <w:bottom w:val="none" w:sz="0" w:space="0" w:color="auto"/>
            <w:right w:val="none" w:sz="0" w:space="0" w:color="auto"/>
          </w:divBdr>
          <w:divsChild>
            <w:div w:id="527841901">
              <w:marLeft w:val="0"/>
              <w:marRight w:val="0"/>
              <w:marTop w:val="0"/>
              <w:marBottom w:val="0"/>
              <w:divBdr>
                <w:top w:val="none" w:sz="0" w:space="0" w:color="auto"/>
                <w:left w:val="none" w:sz="0" w:space="0" w:color="auto"/>
                <w:bottom w:val="none" w:sz="0" w:space="0" w:color="auto"/>
                <w:right w:val="none" w:sz="0" w:space="0" w:color="auto"/>
              </w:divBdr>
              <w:divsChild>
                <w:div w:id="1968930719">
                  <w:marLeft w:val="0"/>
                  <w:marRight w:val="0"/>
                  <w:marTop w:val="0"/>
                  <w:marBottom w:val="0"/>
                  <w:divBdr>
                    <w:top w:val="none" w:sz="0" w:space="0" w:color="auto"/>
                    <w:left w:val="none" w:sz="0" w:space="0" w:color="auto"/>
                    <w:bottom w:val="none" w:sz="0" w:space="0" w:color="auto"/>
                    <w:right w:val="none" w:sz="0" w:space="0" w:color="auto"/>
                  </w:divBdr>
                  <w:divsChild>
                    <w:div w:id="1500151286">
                      <w:marLeft w:val="0"/>
                      <w:marRight w:val="0"/>
                      <w:marTop w:val="0"/>
                      <w:marBottom w:val="0"/>
                      <w:divBdr>
                        <w:top w:val="none" w:sz="0" w:space="0" w:color="auto"/>
                        <w:left w:val="none" w:sz="0" w:space="0" w:color="auto"/>
                        <w:bottom w:val="none" w:sz="0" w:space="0" w:color="auto"/>
                        <w:right w:val="none" w:sz="0" w:space="0" w:color="auto"/>
                      </w:divBdr>
                      <w:divsChild>
                        <w:div w:id="7035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52652">
          <w:marLeft w:val="-90"/>
          <w:marRight w:val="-90"/>
          <w:marTop w:val="0"/>
          <w:marBottom w:val="0"/>
          <w:divBdr>
            <w:top w:val="none" w:sz="0" w:space="0" w:color="auto"/>
            <w:left w:val="none" w:sz="0" w:space="0" w:color="auto"/>
            <w:bottom w:val="none" w:sz="0" w:space="0" w:color="auto"/>
            <w:right w:val="none" w:sz="0" w:space="0" w:color="auto"/>
          </w:divBdr>
          <w:divsChild>
            <w:div w:id="1466315897">
              <w:marLeft w:val="0"/>
              <w:marRight w:val="0"/>
              <w:marTop w:val="0"/>
              <w:marBottom w:val="0"/>
              <w:divBdr>
                <w:top w:val="none" w:sz="0" w:space="0" w:color="auto"/>
                <w:left w:val="none" w:sz="0" w:space="0" w:color="auto"/>
                <w:bottom w:val="none" w:sz="0" w:space="0" w:color="auto"/>
                <w:right w:val="none" w:sz="0" w:space="0" w:color="auto"/>
              </w:divBdr>
              <w:divsChild>
                <w:div w:id="117381898">
                  <w:marLeft w:val="0"/>
                  <w:marRight w:val="0"/>
                  <w:marTop w:val="0"/>
                  <w:marBottom w:val="0"/>
                  <w:divBdr>
                    <w:top w:val="none" w:sz="0" w:space="0" w:color="auto"/>
                    <w:left w:val="none" w:sz="0" w:space="0" w:color="auto"/>
                    <w:bottom w:val="none" w:sz="0" w:space="0" w:color="auto"/>
                    <w:right w:val="none" w:sz="0" w:space="0" w:color="auto"/>
                  </w:divBdr>
                  <w:divsChild>
                    <w:div w:id="1807357063">
                      <w:marLeft w:val="0"/>
                      <w:marRight w:val="0"/>
                      <w:marTop w:val="0"/>
                      <w:marBottom w:val="0"/>
                      <w:divBdr>
                        <w:top w:val="none" w:sz="0" w:space="0" w:color="auto"/>
                        <w:left w:val="none" w:sz="0" w:space="0" w:color="auto"/>
                        <w:bottom w:val="none" w:sz="0" w:space="0" w:color="auto"/>
                        <w:right w:val="none" w:sz="0" w:space="0" w:color="auto"/>
                      </w:divBdr>
                      <w:divsChild>
                        <w:div w:id="2518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959315">
      <w:bodyDiv w:val="1"/>
      <w:marLeft w:val="0"/>
      <w:marRight w:val="0"/>
      <w:marTop w:val="0"/>
      <w:marBottom w:val="0"/>
      <w:divBdr>
        <w:top w:val="none" w:sz="0" w:space="0" w:color="auto"/>
        <w:left w:val="none" w:sz="0" w:space="0" w:color="auto"/>
        <w:bottom w:val="none" w:sz="0" w:space="0" w:color="auto"/>
        <w:right w:val="none" w:sz="0" w:space="0" w:color="auto"/>
      </w:divBdr>
    </w:div>
    <w:div w:id="1800102067">
      <w:bodyDiv w:val="1"/>
      <w:marLeft w:val="0"/>
      <w:marRight w:val="0"/>
      <w:marTop w:val="0"/>
      <w:marBottom w:val="0"/>
      <w:divBdr>
        <w:top w:val="none" w:sz="0" w:space="0" w:color="auto"/>
        <w:left w:val="none" w:sz="0" w:space="0" w:color="auto"/>
        <w:bottom w:val="none" w:sz="0" w:space="0" w:color="auto"/>
        <w:right w:val="none" w:sz="0" w:space="0" w:color="auto"/>
      </w:divBdr>
    </w:div>
    <w:div w:id="1845123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6837">
          <w:marLeft w:val="-90"/>
          <w:marRight w:val="-90"/>
          <w:marTop w:val="0"/>
          <w:marBottom w:val="0"/>
          <w:divBdr>
            <w:top w:val="none" w:sz="0" w:space="0" w:color="auto"/>
            <w:left w:val="none" w:sz="0" w:space="0" w:color="auto"/>
            <w:bottom w:val="none" w:sz="0" w:space="0" w:color="auto"/>
            <w:right w:val="none" w:sz="0" w:space="0" w:color="auto"/>
          </w:divBdr>
          <w:divsChild>
            <w:div w:id="30081093">
              <w:marLeft w:val="0"/>
              <w:marRight w:val="0"/>
              <w:marTop w:val="0"/>
              <w:marBottom w:val="0"/>
              <w:divBdr>
                <w:top w:val="none" w:sz="0" w:space="0" w:color="auto"/>
                <w:left w:val="none" w:sz="0" w:space="0" w:color="auto"/>
                <w:bottom w:val="none" w:sz="0" w:space="0" w:color="auto"/>
                <w:right w:val="none" w:sz="0" w:space="0" w:color="auto"/>
              </w:divBdr>
              <w:divsChild>
                <w:div w:id="2143840220">
                  <w:marLeft w:val="0"/>
                  <w:marRight w:val="0"/>
                  <w:marTop w:val="0"/>
                  <w:marBottom w:val="0"/>
                  <w:divBdr>
                    <w:top w:val="none" w:sz="0" w:space="0" w:color="auto"/>
                    <w:left w:val="none" w:sz="0" w:space="0" w:color="auto"/>
                    <w:bottom w:val="none" w:sz="0" w:space="0" w:color="auto"/>
                    <w:right w:val="none" w:sz="0" w:space="0" w:color="auto"/>
                  </w:divBdr>
                  <w:divsChild>
                    <w:div w:id="831918361">
                      <w:marLeft w:val="0"/>
                      <w:marRight w:val="0"/>
                      <w:marTop w:val="0"/>
                      <w:marBottom w:val="0"/>
                      <w:divBdr>
                        <w:top w:val="none" w:sz="0" w:space="0" w:color="auto"/>
                        <w:left w:val="none" w:sz="0" w:space="0" w:color="auto"/>
                        <w:bottom w:val="none" w:sz="0" w:space="0" w:color="auto"/>
                        <w:right w:val="none" w:sz="0" w:space="0" w:color="auto"/>
                      </w:divBdr>
                      <w:divsChild>
                        <w:div w:id="14874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542149">
          <w:marLeft w:val="-90"/>
          <w:marRight w:val="-90"/>
          <w:marTop w:val="0"/>
          <w:marBottom w:val="0"/>
          <w:divBdr>
            <w:top w:val="none" w:sz="0" w:space="0" w:color="auto"/>
            <w:left w:val="none" w:sz="0" w:space="0" w:color="auto"/>
            <w:bottom w:val="none" w:sz="0" w:space="0" w:color="auto"/>
            <w:right w:val="none" w:sz="0" w:space="0" w:color="auto"/>
          </w:divBdr>
          <w:divsChild>
            <w:div w:id="513304102">
              <w:marLeft w:val="0"/>
              <w:marRight w:val="0"/>
              <w:marTop w:val="0"/>
              <w:marBottom w:val="0"/>
              <w:divBdr>
                <w:top w:val="none" w:sz="0" w:space="0" w:color="auto"/>
                <w:left w:val="none" w:sz="0" w:space="0" w:color="auto"/>
                <w:bottom w:val="none" w:sz="0" w:space="0" w:color="auto"/>
                <w:right w:val="none" w:sz="0" w:space="0" w:color="auto"/>
              </w:divBdr>
              <w:divsChild>
                <w:div w:id="733352148">
                  <w:marLeft w:val="0"/>
                  <w:marRight w:val="0"/>
                  <w:marTop w:val="0"/>
                  <w:marBottom w:val="0"/>
                  <w:divBdr>
                    <w:top w:val="none" w:sz="0" w:space="0" w:color="auto"/>
                    <w:left w:val="none" w:sz="0" w:space="0" w:color="auto"/>
                    <w:bottom w:val="none" w:sz="0" w:space="0" w:color="auto"/>
                    <w:right w:val="none" w:sz="0" w:space="0" w:color="auto"/>
                  </w:divBdr>
                  <w:divsChild>
                    <w:div w:id="780101704">
                      <w:marLeft w:val="0"/>
                      <w:marRight w:val="0"/>
                      <w:marTop w:val="0"/>
                      <w:marBottom w:val="0"/>
                      <w:divBdr>
                        <w:top w:val="none" w:sz="0" w:space="0" w:color="auto"/>
                        <w:left w:val="none" w:sz="0" w:space="0" w:color="auto"/>
                        <w:bottom w:val="none" w:sz="0" w:space="0" w:color="auto"/>
                        <w:right w:val="none" w:sz="0" w:space="0" w:color="auto"/>
                      </w:divBdr>
                      <w:divsChild>
                        <w:div w:id="14230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816">
          <w:marLeft w:val="-90"/>
          <w:marRight w:val="-90"/>
          <w:marTop w:val="0"/>
          <w:marBottom w:val="0"/>
          <w:divBdr>
            <w:top w:val="none" w:sz="0" w:space="0" w:color="auto"/>
            <w:left w:val="none" w:sz="0" w:space="0" w:color="auto"/>
            <w:bottom w:val="none" w:sz="0" w:space="0" w:color="auto"/>
            <w:right w:val="none" w:sz="0" w:space="0" w:color="auto"/>
          </w:divBdr>
          <w:divsChild>
            <w:div w:id="2109307119">
              <w:marLeft w:val="0"/>
              <w:marRight w:val="0"/>
              <w:marTop w:val="0"/>
              <w:marBottom w:val="0"/>
              <w:divBdr>
                <w:top w:val="none" w:sz="0" w:space="0" w:color="auto"/>
                <w:left w:val="none" w:sz="0" w:space="0" w:color="auto"/>
                <w:bottom w:val="none" w:sz="0" w:space="0" w:color="auto"/>
                <w:right w:val="none" w:sz="0" w:space="0" w:color="auto"/>
              </w:divBdr>
              <w:divsChild>
                <w:div w:id="1695156868">
                  <w:marLeft w:val="0"/>
                  <w:marRight w:val="0"/>
                  <w:marTop w:val="0"/>
                  <w:marBottom w:val="0"/>
                  <w:divBdr>
                    <w:top w:val="none" w:sz="0" w:space="0" w:color="auto"/>
                    <w:left w:val="none" w:sz="0" w:space="0" w:color="auto"/>
                    <w:bottom w:val="none" w:sz="0" w:space="0" w:color="auto"/>
                    <w:right w:val="none" w:sz="0" w:space="0" w:color="auto"/>
                  </w:divBdr>
                  <w:divsChild>
                    <w:div w:id="816072111">
                      <w:marLeft w:val="0"/>
                      <w:marRight w:val="0"/>
                      <w:marTop w:val="0"/>
                      <w:marBottom w:val="0"/>
                      <w:divBdr>
                        <w:top w:val="none" w:sz="0" w:space="0" w:color="auto"/>
                        <w:left w:val="none" w:sz="0" w:space="0" w:color="auto"/>
                        <w:bottom w:val="none" w:sz="0" w:space="0" w:color="auto"/>
                        <w:right w:val="none" w:sz="0" w:space="0" w:color="auto"/>
                      </w:divBdr>
                      <w:divsChild>
                        <w:div w:id="7781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7800">
          <w:marLeft w:val="-90"/>
          <w:marRight w:val="-90"/>
          <w:marTop w:val="0"/>
          <w:marBottom w:val="0"/>
          <w:divBdr>
            <w:top w:val="none" w:sz="0" w:space="0" w:color="auto"/>
            <w:left w:val="none" w:sz="0" w:space="0" w:color="auto"/>
            <w:bottom w:val="none" w:sz="0" w:space="0" w:color="auto"/>
            <w:right w:val="none" w:sz="0" w:space="0" w:color="auto"/>
          </w:divBdr>
          <w:divsChild>
            <w:div w:id="1972397295">
              <w:marLeft w:val="0"/>
              <w:marRight w:val="0"/>
              <w:marTop w:val="0"/>
              <w:marBottom w:val="0"/>
              <w:divBdr>
                <w:top w:val="none" w:sz="0" w:space="0" w:color="auto"/>
                <w:left w:val="none" w:sz="0" w:space="0" w:color="auto"/>
                <w:bottom w:val="none" w:sz="0" w:space="0" w:color="auto"/>
                <w:right w:val="none" w:sz="0" w:space="0" w:color="auto"/>
              </w:divBdr>
              <w:divsChild>
                <w:div w:id="989747009">
                  <w:marLeft w:val="0"/>
                  <w:marRight w:val="0"/>
                  <w:marTop w:val="0"/>
                  <w:marBottom w:val="0"/>
                  <w:divBdr>
                    <w:top w:val="none" w:sz="0" w:space="0" w:color="auto"/>
                    <w:left w:val="none" w:sz="0" w:space="0" w:color="auto"/>
                    <w:bottom w:val="none" w:sz="0" w:space="0" w:color="auto"/>
                    <w:right w:val="none" w:sz="0" w:space="0" w:color="auto"/>
                  </w:divBdr>
                  <w:divsChild>
                    <w:div w:id="542406282">
                      <w:marLeft w:val="0"/>
                      <w:marRight w:val="0"/>
                      <w:marTop w:val="0"/>
                      <w:marBottom w:val="0"/>
                      <w:divBdr>
                        <w:top w:val="none" w:sz="0" w:space="0" w:color="auto"/>
                        <w:left w:val="none" w:sz="0" w:space="0" w:color="auto"/>
                        <w:bottom w:val="none" w:sz="0" w:space="0" w:color="auto"/>
                        <w:right w:val="none" w:sz="0" w:space="0" w:color="auto"/>
                      </w:divBdr>
                      <w:divsChild>
                        <w:div w:id="17337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13876">
          <w:marLeft w:val="-90"/>
          <w:marRight w:val="-90"/>
          <w:marTop w:val="0"/>
          <w:marBottom w:val="0"/>
          <w:divBdr>
            <w:top w:val="none" w:sz="0" w:space="0" w:color="auto"/>
            <w:left w:val="none" w:sz="0" w:space="0" w:color="auto"/>
            <w:bottom w:val="none" w:sz="0" w:space="0" w:color="auto"/>
            <w:right w:val="none" w:sz="0" w:space="0" w:color="auto"/>
          </w:divBdr>
          <w:divsChild>
            <w:div w:id="388581089">
              <w:marLeft w:val="0"/>
              <w:marRight w:val="0"/>
              <w:marTop w:val="0"/>
              <w:marBottom w:val="0"/>
              <w:divBdr>
                <w:top w:val="none" w:sz="0" w:space="0" w:color="auto"/>
                <w:left w:val="none" w:sz="0" w:space="0" w:color="auto"/>
                <w:bottom w:val="none" w:sz="0" w:space="0" w:color="auto"/>
                <w:right w:val="none" w:sz="0" w:space="0" w:color="auto"/>
              </w:divBdr>
              <w:divsChild>
                <w:div w:id="1238051266">
                  <w:marLeft w:val="0"/>
                  <w:marRight w:val="0"/>
                  <w:marTop w:val="0"/>
                  <w:marBottom w:val="0"/>
                  <w:divBdr>
                    <w:top w:val="none" w:sz="0" w:space="0" w:color="auto"/>
                    <w:left w:val="none" w:sz="0" w:space="0" w:color="auto"/>
                    <w:bottom w:val="none" w:sz="0" w:space="0" w:color="auto"/>
                    <w:right w:val="none" w:sz="0" w:space="0" w:color="auto"/>
                  </w:divBdr>
                  <w:divsChild>
                    <w:div w:id="2116174718">
                      <w:marLeft w:val="0"/>
                      <w:marRight w:val="0"/>
                      <w:marTop w:val="0"/>
                      <w:marBottom w:val="0"/>
                      <w:divBdr>
                        <w:top w:val="none" w:sz="0" w:space="0" w:color="auto"/>
                        <w:left w:val="none" w:sz="0" w:space="0" w:color="auto"/>
                        <w:bottom w:val="none" w:sz="0" w:space="0" w:color="auto"/>
                        <w:right w:val="none" w:sz="0" w:space="0" w:color="auto"/>
                      </w:divBdr>
                      <w:divsChild>
                        <w:div w:id="19120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79032">
      <w:bodyDiv w:val="1"/>
      <w:marLeft w:val="0"/>
      <w:marRight w:val="0"/>
      <w:marTop w:val="0"/>
      <w:marBottom w:val="0"/>
      <w:divBdr>
        <w:top w:val="none" w:sz="0" w:space="0" w:color="auto"/>
        <w:left w:val="none" w:sz="0" w:space="0" w:color="auto"/>
        <w:bottom w:val="none" w:sz="0" w:space="0" w:color="auto"/>
        <w:right w:val="none" w:sz="0" w:space="0" w:color="auto"/>
      </w:divBdr>
    </w:div>
    <w:div w:id="1925410594">
      <w:bodyDiv w:val="1"/>
      <w:marLeft w:val="0"/>
      <w:marRight w:val="0"/>
      <w:marTop w:val="0"/>
      <w:marBottom w:val="0"/>
      <w:divBdr>
        <w:top w:val="none" w:sz="0" w:space="0" w:color="auto"/>
        <w:left w:val="none" w:sz="0" w:space="0" w:color="auto"/>
        <w:bottom w:val="none" w:sz="0" w:space="0" w:color="auto"/>
        <w:right w:val="none" w:sz="0" w:space="0" w:color="auto"/>
      </w:divBdr>
    </w:div>
    <w:div w:id="1941639201">
      <w:bodyDiv w:val="1"/>
      <w:marLeft w:val="0"/>
      <w:marRight w:val="0"/>
      <w:marTop w:val="0"/>
      <w:marBottom w:val="0"/>
      <w:divBdr>
        <w:top w:val="none" w:sz="0" w:space="0" w:color="auto"/>
        <w:left w:val="none" w:sz="0" w:space="0" w:color="auto"/>
        <w:bottom w:val="none" w:sz="0" w:space="0" w:color="auto"/>
        <w:right w:val="none" w:sz="0" w:space="0" w:color="auto"/>
      </w:divBdr>
    </w:div>
    <w:div w:id="1973098695">
      <w:bodyDiv w:val="1"/>
      <w:marLeft w:val="0"/>
      <w:marRight w:val="0"/>
      <w:marTop w:val="0"/>
      <w:marBottom w:val="0"/>
      <w:divBdr>
        <w:top w:val="none" w:sz="0" w:space="0" w:color="auto"/>
        <w:left w:val="none" w:sz="0" w:space="0" w:color="auto"/>
        <w:bottom w:val="none" w:sz="0" w:space="0" w:color="auto"/>
        <w:right w:val="none" w:sz="0" w:space="0" w:color="auto"/>
      </w:divBdr>
    </w:div>
    <w:div w:id="1974017865">
      <w:bodyDiv w:val="1"/>
      <w:marLeft w:val="0"/>
      <w:marRight w:val="0"/>
      <w:marTop w:val="0"/>
      <w:marBottom w:val="0"/>
      <w:divBdr>
        <w:top w:val="none" w:sz="0" w:space="0" w:color="auto"/>
        <w:left w:val="none" w:sz="0" w:space="0" w:color="auto"/>
        <w:bottom w:val="none" w:sz="0" w:space="0" w:color="auto"/>
        <w:right w:val="none" w:sz="0" w:space="0" w:color="auto"/>
      </w:divBdr>
    </w:div>
    <w:div w:id="2027712427">
      <w:bodyDiv w:val="1"/>
      <w:marLeft w:val="0"/>
      <w:marRight w:val="0"/>
      <w:marTop w:val="0"/>
      <w:marBottom w:val="0"/>
      <w:divBdr>
        <w:top w:val="none" w:sz="0" w:space="0" w:color="auto"/>
        <w:left w:val="none" w:sz="0" w:space="0" w:color="auto"/>
        <w:bottom w:val="none" w:sz="0" w:space="0" w:color="auto"/>
        <w:right w:val="none" w:sz="0" w:space="0" w:color="auto"/>
      </w:divBdr>
    </w:div>
    <w:div w:id="2058238263">
      <w:bodyDiv w:val="1"/>
      <w:marLeft w:val="0"/>
      <w:marRight w:val="0"/>
      <w:marTop w:val="0"/>
      <w:marBottom w:val="0"/>
      <w:divBdr>
        <w:top w:val="none" w:sz="0" w:space="0" w:color="auto"/>
        <w:left w:val="none" w:sz="0" w:space="0" w:color="auto"/>
        <w:bottom w:val="none" w:sz="0" w:space="0" w:color="auto"/>
        <w:right w:val="none" w:sz="0" w:space="0" w:color="auto"/>
      </w:divBdr>
    </w:div>
    <w:div w:id="2098550975">
      <w:bodyDiv w:val="1"/>
      <w:marLeft w:val="0"/>
      <w:marRight w:val="0"/>
      <w:marTop w:val="0"/>
      <w:marBottom w:val="0"/>
      <w:divBdr>
        <w:top w:val="none" w:sz="0" w:space="0" w:color="auto"/>
        <w:left w:val="none" w:sz="0" w:space="0" w:color="auto"/>
        <w:bottom w:val="none" w:sz="0" w:space="0" w:color="auto"/>
        <w:right w:val="none" w:sz="0" w:space="0" w:color="auto"/>
      </w:divBdr>
    </w:div>
    <w:div w:id="2099667339">
      <w:bodyDiv w:val="1"/>
      <w:marLeft w:val="0"/>
      <w:marRight w:val="0"/>
      <w:marTop w:val="0"/>
      <w:marBottom w:val="0"/>
      <w:divBdr>
        <w:top w:val="none" w:sz="0" w:space="0" w:color="auto"/>
        <w:left w:val="none" w:sz="0" w:space="0" w:color="auto"/>
        <w:bottom w:val="none" w:sz="0" w:space="0" w:color="auto"/>
        <w:right w:val="none" w:sz="0" w:space="0" w:color="auto"/>
      </w:divBdr>
    </w:div>
    <w:div w:id="2123062641">
      <w:bodyDiv w:val="1"/>
      <w:marLeft w:val="0"/>
      <w:marRight w:val="0"/>
      <w:marTop w:val="0"/>
      <w:marBottom w:val="0"/>
      <w:divBdr>
        <w:top w:val="none" w:sz="0" w:space="0" w:color="auto"/>
        <w:left w:val="none" w:sz="0" w:space="0" w:color="auto"/>
        <w:bottom w:val="none" w:sz="0" w:space="0" w:color="auto"/>
        <w:right w:val="none" w:sz="0" w:space="0" w:color="auto"/>
      </w:divBdr>
    </w:div>
    <w:div w:id="213544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bie.govt.nz/science-and-technology/science-and-innovation/refocusing-the-science-innovation-and-technology-system/a-new-funding-strategy-for-the-science-system" TargetMode="External"/><Relationship Id="rId18" Type="http://schemas.openxmlformats.org/officeDocument/2006/relationships/hyperlink" Target="mailto:wellington.embassy@esteri.it" TargetMode="External"/><Relationship Id="rId26" Type="http://schemas.openxmlformats.org/officeDocument/2006/relationships/hyperlink" Target="https://www.mfat.govt.nz/" TargetMode="External"/><Relationship Id="rId39" Type="http://schemas.openxmlformats.org/officeDocument/2006/relationships/fontTable" Target="fontTable.xml"/><Relationship Id="rId21" Type="http://schemas.openxmlformats.org/officeDocument/2006/relationships/hyperlink" Target="mailto:delegation-new-zealand@eeas.europa.eu"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nzte.govt.nz/page/invest-or-raise-capital-with-nzte" TargetMode="External"/><Relationship Id="rId17" Type="http://schemas.openxmlformats.org/officeDocument/2006/relationships/hyperlink" Target="fax:006444727255" TargetMode="External"/><Relationship Id="rId25" Type="http://schemas.openxmlformats.org/officeDocument/2006/relationships/image" Target="media/image3.jpeg"/><Relationship Id="rId33" Type="http://schemas.openxmlformats.org/officeDocument/2006/relationships/hyperlink" Target="https://www.nzte.govt.nz/page/about-us-invest-new-zealand"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tel:006444735339" TargetMode="External"/><Relationship Id="rId20" Type="http://schemas.openxmlformats.org/officeDocument/2006/relationships/hyperlink" Target="mailto:info@iccnz.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and-innovation.ec.europa.eu/funding/funding-opportunities/funding-programmes-and-open-calls/horizon-europe_en" TargetMode="External"/><Relationship Id="rId24" Type="http://schemas.openxmlformats.org/officeDocument/2006/relationships/hyperlink" Target="mailto:sydney@ice.it"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icsydney@esteri.it" TargetMode="External"/><Relationship Id="rId28" Type="http://schemas.openxmlformats.org/officeDocument/2006/relationships/image" Target="media/image5.png"/><Relationship Id="rId36" Type="http://schemas.openxmlformats.org/officeDocument/2006/relationships/hyperlink" Target="https://research-and-innovation.ec.europa.eu/funding/funding-opportunities/funding-programmes-and-open-calls/horizon-europe_en" TargetMode="External"/><Relationship Id="rId10" Type="http://schemas.openxmlformats.org/officeDocument/2006/relationships/hyperlink" Target="https://www.treasury.govt.nz/publications/efu/budget-economic-and-fiscal-update-2025" TargetMode="External"/><Relationship Id="rId19" Type="http://schemas.openxmlformats.org/officeDocument/2006/relationships/hyperlink" Target="mailto:christchurch.onorario@esteri.it"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tel:+61%202%209261%201780"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research-and-innovation.ec.europa.eu/funding/funding-opportunities/funding-programmes-and-open-calls/horizon-europe_en"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BD9DE-68DD-4ADA-831E-99B2A99B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28</Pages>
  <Words>5875</Words>
  <Characters>33493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Student-1</dc:creator>
  <cp:keywords/>
  <dc:description/>
  <cp:lastModifiedBy>Student-1</cp:lastModifiedBy>
  <cp:revision>218</cp:revision>
  <cp:lastPrinted>2025-12-01T01:29:00Z</cp:lastPrinted>
  <dcterms:created xsi:type="dcterms:W3CDTF">2025-11-18T02:47:00Z</dcterms:created>
  <dcterms:modified xsi:type="dcterms:W3CDTF">2025-12-01T01:59:00Z</dcterms:modified>
</cp:coreProperties>
</file>